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80" w:lineRule="exact"/>
        <w:jc w:val="center"/>
        <w:rPr>
          <w:rFonts w:hint="default" w:ascii="方正小标宋简体" w:eastAsia="方正小标宋简体"/>
          <w:sz w:val="44"/>
          <w:szCs w:val="44"/>
          <w:lang w:val="en-US" w:eastAsia="zh-CN"/>
        </w:rPr>
      </w:pPr>
      <w:r>
        <w:rPr>
          <w:rFonts w:hint="eastAsia" w:ascii="方正小标宋简体" w:eastAsia="方正小标宋简体"/>
          <w:sz w:val="44"/>
          <w:szCs w:val="44"/>
          <w:lang w:val="en-US" w:eastAsia="zh-CN"/>
        </w:rPr>
        <w:t>自贡市沿滩区人民检察院</w:t>
      </w:r>
    </w:p>
    <w:p>
      <w:pPr>
        <w:widowControl/>
        <w:spacing w:line="580" w:lineRule="exact"/>
        <w:jc w:val="center"/>
        <w:rPr>
          <w:rFonts w:ascii="方正小标宋简体" w:eastAsia="方正小标宋简体"/>
          <w:sz w:val="44"/>
          <w:szCs w:val="44"/>
        </w:rPr>
      </w:pPr>
      <w:r>
        <w:rPr>
          <w:rFonts w:hint="eastAsia" w:ascii="方正小标宋简体" w:eastAsia="方正小标宋简体"/>
          <w:sz w:val="44"/>
          <w:szCs w:val="44"/>
          <w:lang w:val="en-US" w:eastAsia="zh-CN"/>
        </w:rPr>
        <w:t>2022</w:t>
      </w:r>
      <w:r>
        <w:rPr>
          <w:rFonts w:hint="eastAsia" w:ascii="方正小标宋简体" w:eastAsia="方正小标宋简体"/>
          <w:sz w:val="44"/>
          <w:szCs w:val="44"/>
        </w:rPr>
        <w:t>年度部门决算编制的说明</w:t>
      </w:r>
    </w:p>
    <w:p>
      <w:pPr>
        <w:widowControl/>
        <w:jc w:val="center"/>
        <w:rPr>
          <w:rFonts w:hint="eastAsia" w:ascii="黑体" w:hAnsi="黑体" w:eastAsia="黑体"/>
          <w:color w:val="000000"/>
          <w:sz w:val="44"/>
          <w:szCs w:val="44"/>
        </w:rPr>
      </w:pPr>
    </w:p>
    <w:p>
      <w:pPr>
        <w:widowControl/>
        <w:jc w:val="center"/>
        <w:rPr>
          <w:rFonts w:ascii="黑体" w:hAnsi="黑体" w:eastAsia="黑体"/>
          <w:color w:val="000000"/>
          <w:sz w:val="48"/>
          <w:szCs w:val="48"/>
        </w:rPr>
      </w:pPr>
      <w:r>
        <w:rPr>
          <w:rFonts w:hint="eastAsia" w:ascii="黑体" w:hAnsi="黑体" w:eastAsia="黑体"/>
          <w:color w:val="000000"/>
          <w:sz w:val="44"/>
          <w:szCs w:val="44"/>
        </w:rPr>
        <w:t>目</w:t>
      </w:r>
      <w:r>
        <w:rPr>
          <w:rFonts w:hint="eastAsia" w:ascii="黑体" w:hAnsi="黑体" w:eastAsia="黑体"/>
          <w:color w:val="000000"/>
          <w:sz w:val="44"/>
          <w:szCs w:val="44"/>
          <w:lang w:val="en-US" w:eastAsia="zh-CN"/>
        </w:rPr>
        <w:t xml:space="preserve"> </w:t>
      </w:r>
      <w:r>
        <w:rPr>
          <w:rFonts w:hint="eastAsia" w:ascii="黑体" w:hAnsi="黑体" w:eastAsia="黑体"/>
          <w:color w:val="000000"/>
          <w:sz w:val="44"/>
          <w:szCs w:val="44"/>
        </w:rPr>
        <w:t>录</w:t>
      </w:r>
    </w:p>
    <w:p>
      <w:pPr>
        <w:pStyle w:val="9"/>
        <w:spacing w:line="500" w:lineRule="exact"/>
        <w:jc w:val="center"/>
        <w:rPr>
          <w:rFonts w:hint="eastAsia" w:ascii="仿宋_GB2312" w:eastAsia="仿宋_GB2312"/>
          <w:i w:val="0"/>
          <w:color w:val="auto"/>
          <w:sz w:val="32"/>
          <w:lang w:eastAsia="zh-CN"/>
        </w:rPr>
      </w:pPr>
      <w:r>
        <w:rPr>
          <w:rFonts w:hint="eastAsia" w:ascii="仿宋_GB2312" w:eastAsia="仿宋_GB2312"/>
          <w:i w:val="0"/>
          <w:color w:val="auto"/>
          <w:sz w:val="32"/>
        </w:rPr>
        <w:t>公开时间：202</w:t>
      </w:r>
      <w:r>
        <w:rPr>
          <w:rFonts w:hint="eastAsia" w:ascii="仿宋_GB2312" w:eastAsia="仿宋_GB2312"/>
          <w:i w:val="0"/>
          <w:color w:val="auto"/>
          <w:sz w:val="32"/>
          <w:lang w:val="en-US" w:eastAsia="zh-CN"/>
        </w:rPr>
        <w:t>3</w:t>
      </w:r>
      <w:r>
        <w:rPr>
          <w:rFonts w:hint="eastAsia" w:ascii="仿宋_GB2312" w:eastAsia="仿宋_GB2312"/>
          <w:i w:val="0"/>
          <w:color w:val="auto"/>
          <w:sz w:val="32"/>
        </w:rPr>
        <w:t>年9月</w:t>
      </w:r>
      <w:r>
        <w:rPr>
          <w:rFonts w:hint="eastAsia" w:ascii="仿宋_GB2312" w:eastAsia="仿宋_GB2312"/>
          <w:i w:val="0"/>
          <w:color w:val="auto"/>
          <w:sz w:val="32"/>
          <w:lang w:val="en-US" w:eastAsia="zh-CN"/>
        </w:rPr>
        <w:t>28</w:t>
      </w:r>
      <w:r>
        <w:rPr>
          <w:rFonts w:hint="eastAsia" w:ascii="仿宋_GB2312" w:eastAsia="仿宋_GB2312"/>
          <w:i w:val="0"/>
          <w:color w:val="auto"/>
          <w:sz w:val="32"/>
        </w:rPr>
        <w:t>日</w:t>
      </w:r>
    </w:p>
    <w:p>
      <w:pPr>
        <w:pStyle w:val="9"/>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TOC \o "1-2" \h \z \u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_Toc762520288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第一部分 部门概况</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_Toc762520288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1</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_Toc2144038751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一、</w:t>
      </w:r>
      <w:r>
        <w:rPr>
          <w:rFonts w:hint="eastAsia" w:ascii="仿宋_GB2312" w:hAnsi="仿宋_GB2312" w:eastAsia="仿宋_GB2312" w:cs="仿宋_GB2312"/>
          <w:b w:val="0"/>
          <w:bCs w:val="0"/>
          <w:i w:val="0"/>
          <w:iCs w:val="0"/>
          <w:sz w:val="32"/>
          <w:szCs w:val="32"/>
          <w:highlight w:val="none"/>
          <w:lang w:eastAsia="zh-CN"/>
        </w:rPr>
        <w:t>部门职责</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_Toc2144038751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1</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_Toc536046237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二、机构设置</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_Toc536046237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1</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9"/>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_Toc1685910977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第二部分 202</w:t>
      </w:r>
      <w:r>
        <w:rPr>
          <w:rFonts w:hint="eastAsia" w:ascii="仿宋_GB2312" w:hAnsi="仿宋_GB2312" w:eastAsia="仿宋_GB2312" w:cs="仿宋_GB2312"/>
          <w:b w:val="0"/>
          <w:bCs w:val="0"/>
          <w:i w:val="0"/>
          <w:iCs w:val="0"/>
          <w:sz w:val="32"/>
          <w:szCs w:val="32"/>
          <w:lang w:val="en-US" w:eastAsia="zh-CN"/>
        </w:rPr>
        <w:t>2</w:t>
      </w:r>
      <w:r>
        <w:rPr>
          <w:rFonts w:hint="eastAsia" w:ascii="仿宋_GB2312" w:hAnsi="仿宋_GB2312" w:eastAsia="仿宋_GB2312" w:cs="仿宋_GB2312"/>
          <w:b w:val="0"/>
          <w:bCs w:val="0"/>
          <w:i w:val="0"/>
          <w:iCs w:val="0"/>
          <w:sz w:val="32"/>
          <w:szCs w:val="32"/>
        </w:rPr>
        <w:t>年度部门决算情况说明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_Toc1685910977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_Toc780374100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一、 收入支出决算总体情况说明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_Toc780374100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_Toc2014380783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二、 收入决算情况说明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_Toc2014380783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_Toc763783022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三、 支出决算情况说明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_Toc763783022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3</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_Toc1624033745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四、财政拨款收入支出决算总体情况说明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_Toc1624033745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3</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_Toc1340687928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五、一般公共预算财政拨款支出决算情况说明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_Toc1340687928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4</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_Toc49189142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六、一般公共预算财政拨款基本支出决算情况说明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_Toc49189142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6</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_Toc1498715473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七、“三公”经费财政拨款支出决算情况说明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_Toc1498715473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7</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_Toc1267697087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八、政府性基金预算支出决算情况说明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_Toc1267697087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_Toc2081112177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九、 国有资本经营预算支出决算情况说明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_Toc2081112177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_Toc189374103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十、其他重要事项的情况说明</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_Toc189374103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9"/>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_Toc867690078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第三部分 名词解释</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_Toc867690078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12</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9"/>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_Toc1484434437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第四部分 附件</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_Toc1484434437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15</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9"/>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_Toc1167854861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rPr>
        <w:t>第五部分 附表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_Toc1167854861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_Toc321303262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一、收入支出决算总表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_Toc321303262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_Toc528329500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二、收入决算表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_Toc528329500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_Toc2010166574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三、支出决算表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_Toc2010166574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_Toc159148590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四、财政拨款收入支出决算总表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_Toc159148590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_Toc1124407885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五、财政拨款支出决算明细表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_Toc1124407885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_Toc457536483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六、一般公共预算财政拨款支出决算表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_Toc457536483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_Toc1137078736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七、一般公共预算财政拨款支出决算明细表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_Toc1137078736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_Toc1108667638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八、一般公共预算财政拨款基本支出决算表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_Toc1108667638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_Toc940495635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九、一般公共预算财政拨款项目支出决算表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_Toc940495635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_Toc1750613312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十、</w:t>
      </w:r>
      <w:r>
        <w:rPr>
          <w:rFonts w:hint="eastAsia" w:ascii="仿宋_GB2312" w:hAnsi="仿宋_GB2312" w:eastAsia="仿宋_GB2312" w:cs="仿宋_GB2312"/>
          <w:b w:val="0"/>
          <w:bCs w:val="0"/>
          <w:i w:val="0"/>
          <w:iCs w:val="0"/>
          <w:sz w:val="32"/>
          <w:szCs w:val="32"/>
          <w:highlight w:val="none"/>
          <w:lang w:eastAsia="zh-CN"/>
        </w:rPr>
        <w:t>政府性基金预算财政拨款收入支出决算表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_Toc1750613312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_Toc107843221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十一、国有资本经营预算</w:t>
      </w:r>
      <w:r>
        <w:rPr>
          <w:rFonts w:hint="eastAsia" w:ascii="仿宋_GB2312" w:hAnsi="仿宋_GB2312" w:eastAsia="仿宋_GB2312" w:cs="仿宋_GB2312"/>
          <w:b w:val="0"/>
          <w:bCs w:val="0"/>
          <w:i w:val="0"/>
          <w:iCs w:val="0"/>
          <w:sz w:val="32"/>
          <w:szCs w:val="32"/>
          <w:highlight w:val="none"/>
          <w:lang w:eastAsia="zh-CN"/>
        </w:rPr>
        <w:t>财政拨款收入</w:t>
      </w:r>
      <w:r>
        <w:rPr>
          <w:rFonts w:hint="eastAsia" w:ascii="仿宋_GB2312" w:hAnsi="仿宋_GB2312" w:eastAsia="仿宋_GB2312" w:cs="仿宋_GB2312"/>
          <w:b w:val="0"/>
          <w:bCs w:val="0"/>
          <w:i w:val="0"/>
          <w:iCs w:val="0"/>
          <w:sz w:val="32"/>
          <w:szCs w:val="32"/>
          <w:highlight w:val="none"/>
        </w:rPr>
        <w:t>支出决算表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_Toc107843221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_Toc376677970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十二、</w:t>
      </w:r>
      <w:r>
        <w:rPr>
          <w:rFonts w:hint="eastAsia" w:ascii="仿宋_GB2312" w:hAnsi="仿宋_GB2312" w:eastAsia="仿宋_GB2312" w:cs="仿宋_GB2312"/>
          <w:b w:val="0"/>
          <w:bCs w:val="0"/>
          <w:i w:val="0"/>
          <w:iCs w:val="0"/>
          <w:sz w:val="32"/>
          <w:szCs w:val="32"/>
          <w:highlight w:val="none"/>
          <w:lang w:eastAsia="zh-CN"/>
        </w:rPr>
        <w:t>国有资本经营预算财政拨款支出决算表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_Toc376677970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pStyle w:val="10"/>
        <w:tabs>
          <w:tab w:val="right" w:leader="dot" w:pos="8306"/>
        </w:tabs>
        <w:rPr>
          <w:rFonts w:hint="eastAsia" w:ascii="仿宋_GB2312" w:hAnsi="仿宋_GB2312" w:eastAsia="仿宋_GB2312" w:cs="仿宋_GB2312"/>
          <w:b w:val="0"/>
          <w:bCs w:val="0"/>
          <w:i w:val="0"/>
          <w:iCs w:val="0"/>
          <w:sz w:val="32"/>
          <w:szCs w:val="32"/>
        </w:rPr>
      </w:pPr>
      <w:r>
        <w:rPr>
          <w:rFonts w:hint="eastAsia" w:ascii="仿宋_GB2312" w:hAnsi="仿宋_GB2312" w:eastAsia="仿宋_GB2312" w:cs="仿宋_GB2312"/>
          <w:b w:val="0"/>
          <w:bCs w:val="0"/>
          <w:i w:val="0"/>
          <w:iCs w:val="0"/>
          <w:caps/>
          <w:sz w:val="32"/>
          <w:szCs w:val="32"/>
        </w:rPr>
        <w:fldChar w:fldCharType="begin"/>
      </w:r>
      <w:r>
        <w:rPr>
          <w:rFonts w:hint="eastAsia" w:ascii="仿宋_GB2312" w:hAnsi="仿宋_GB2312" w:eastAsia="仿宋_GB2312" w:cs="仿宋_GB2312"/>
          <w:b w:val="0"/>
          <w:bCs w:val="0"/>
          <w:i w:val="0"/>
          <w:iCs w:val="0"/>
          <w:caps/>
          <w:sz w:val="32"/>
          <w:szCs w:val="32"/>
        </w:rPr>
        <w:instrText xml:space="preserve"> HYPERLINK \l _Toc1184993690 </w:instrText>
      </w:r>
      <w:r>
        <w:rPr>
          <w:rFonts w:hint="eastAsia" w:ascii="仿宋_GB2312" w:hAnsi="仿宋_GB2312" w:eastAsia="仿宋_GB2312" w:cs="仿宋_GB2312"/>
          <w:b w:val="0"/>
          <w:bCs w:val="0"/>
          <w:i w:val="0"/>
          <w:iCs w:val="0"/>
          <w:caps/>
          <w:sz w:val="32"/>
          <w:szCs w:val="32"/>
        </w:rPr>
        <w:fldChar w:fldCharType="separate"/>
      </w:r>
      <w:r>
        <w:rPr>
          <w:rFonts w:hint="eastAsia" w:ascii="仿宋_GB2312" w:hAnsi="仿宋_GB2312" w:eastAsia="仿宋_GB2312" w:cs="仿宋_GB2312"/>
          <w:b w:val="0"/>
          <w:bCs w:val="0"/>
          <w:i w:val="0"/>
          <w:iCs w:val="0"/>
          <w:sz w:val="32"/>
          <w:szCs w:val="32"/>
          <w:highlight w:val="none"/>
        </w:rPr>
        <w:t>十三、</w:t>
      </w:r>
      <w:r>
        <w:rPr>
          <w:rFonts w:hint="eastAsia" w:ascii="仿宋_GB2312" w:hAnsi="仿宋_GB2312" w:eastAsia="仿宋_GB2312" w:cs="仿宋_GB2312"/>
          <w:b w:val="0"/>
          <w:bCs w:val="0"/>
          <w:i w:val="0"/>
          <w:iCs w:val="0"/>
          <w:sz w:val="32"/>
          <w:szCs w:val="32"/>
          <w:highlight w:val="none"/>
          <w:lang w:eastAsia="zh-CN"/>
        </w:rPr>
        <w:t>财政拨款“三公”经费支出决算表</w:t>
      </w:r>
      <w:r>
        <w:rPr>
          <w:rFonts w:hint="eastAsia" w:ascii="仿宋_GB2312" w:hAnsi="仿宋_GB2312" w:eastAsia="仿宋_GB2312" w:cs="仿宋_GB2312"/>
          <w:b w:val="0"/>
          <w:bCs w:val="0"/>
          <w:i w:val="0"/>
          <w:iCs w:val="0"/>
          <w:sz w:val="32"/>
          <w:szCs w:val="32"/>
        </w:rPr>
        <w:tab/>
      </w:r>
      <w:r>
        <w:rPr>
          <w:rFonts w:hint="eastAsia" w:ascii="仿宋_GB2312" w:hAnsi="仿宋_GB2312" w:eastAsia="仿宋_GB2312" w:cs="仿宋_GB2312"/>
          <w:b w:val="0"/>
          <w:bCs w:val="0"/>
          <w:i w:val="0"/>
          <w:iCs w:val="0"/>
          <w:sz w:val="32"/>
          <w:szCs w:val="32"/>
        </w:rPr>
        <w:fldChar w:fldCharType="begin"/>
      </w:r>
      <w:r>
        <w:rPr>
          <w:rFonts w:hint="eastAsia" w:ascii="仿宋_GB2312" w:hAnsi="仿宋_GB2312" w:eastAsia="仿宋_GB2312" w:cs="仿宋_GB2312"/>
          <w:b w:val="0"/>
          <w:bCs w:val="0"/>
          <w:i w:val="0"/>
          <w:iCs w:val="0"/>
          <w:sz w:val="32"/>
          <w:szCs w:val="32"/>
        </w:rPr>
        <w:instrText xml:space="preserve"> PAGEREF _Toc1184993690 </w:instrText>
      </w:r>
      <w:r>
        <w:rPr>
          <w:rFonts w:hint="eastAsia" w:ascii="仿宋_GB2312" w:hAnsi="仿宋_GB2312" w:eastAsia="仿宋_GB2312" w:cs="仿宋_GB2312"/>
          <w:b w:val="0"/>
          <w:bCs w:val="0"/>
          <w:i w:val="0"/>
          <w:iCs w:val="0"/>
          <w:sz w:val="32"/>
          <w:szCs w:val="32"/>
        </w:rPr>
        <w:fldChar w:fldCharType="separate"/>
      </w:r>
      <w:r>
        <w:rPr>
          <w:rFonts w:hint="eastAsia" w:ascii="仿宋_GB2312" w:hAnsi="仿宋_GB2312" w:eastAsia="仿宋_GB2312" w:cs="仿宋_GB2312"/>
          <w:b w:val="0"/>
          <w:bCs w:val="0"/>
          <w:i w:val="0"/>
          <w:iCs w:val="0"/>
          <w:sz w:val="32"/>
          <w:szCs w:val="32"/>
        </w:rPr>
        <w:t>29</w:t>
      </w:r>
      <w:r>
        <w:rPr>
          <w:rFonts w:hint="eastAsia" w:ascii="仿宋_GB2312" w:hAnsi="仿宋_GB2312" w:eastAsia="仿宋_GB2312" w:cs="仿宋_GB2312"/>
          <w:b w:val="0"/>
          <w:bCs w:val="0"/>
          <w:i w:val="0"/>
          <w:iCs w:val="0"/>
          <w:sz w:val="32"/>
          <w:szCs w:val="32"/>
        </w:rPr>
        <w:fldChar w:fldCharType="end"/>
      </w:r>
      <w:r>
        <w:rPr>
          <w:rFonts w:hint="eastAsia" w:ascii="仿宋_GB2312" w:hAnsi="仿宋_GB2312" w:eastAsia="仿宋_GB2312" w:cs="仿宋_GB2312"/>
          <w:b w:val="0"/>
          <w:bCs w:val="0"/>
          <w:i w:val="0"/>
          <w:iCs w:val="0"/>
          <w:caps/>
          <w:sz w:val="32"/>
          <w:szCs w:val="32"/>
        </w:rPr>
        <w:fldChar w:fldCharType="end"/>
      </w:r>
    </w:p>
    <w:p>
      <w:pPr>
        <w:keepNext w:val="0"/>
        <w:keepLines w:val="0"/>
        <w:pageBreakBefore w:val="0"/>
        <w:widowControl w:val="0"/>
        <w:kinsoku/>
        <w:wordWrap/>
        <w:overflowPunct/>
        <w:topLinePunct w:val="0"/>
        <w:autoSpaceDE/>
        <w:autoSpaceDN/>
        <w:bidi w:val="0"/>
        <w:adjustRightInd/>
        <w:snapToGrid/>
        <w:spacing w:line="560" w:lineRule="exact"/>
        <w:ind w:firstLine="2400" w:firstLineChars="750"/>
        <w:textAlignment w:val="auto"/>
        <w:rPr>
          <w:rFonts w:hint="eastAsia" w:ascii="仿宋_GB2312" w:hAnsi="仿宋"/>
          <w:b/>
          <w:bCs/>
          <w:color w:val="FF0000"/>
          <w:szCs w:val="32"/>
        </w:rPr>
      </w:pPr>
      <w:r>
        <w:rPr>
          <w:rFonts w:hint="eastAsia" w:ascii="仿宋_GB2312" w:hAnsi="仿宋_GB2312" w:eastAsia="仿宋_GB2312" w:cs="仿宋_GB2312"/>
          <w:b w:val="0"/>
          <w:bCs w:val="0"/>
          <w:i w:val="0"/>
          <w:iCs w:val="0"/>
          <w:caps/>
          <w:sz w:val="32"/>
          <w:szCs w:val="32"/>
        </w:rPr>
        <w:fldChar w:fldCharType="end"/>
      </w:r>
    </w:p>
    <w:p>
      <w:pPr>
        <w:pStyle w:val="3"/>
        <w:jc w:val="center"/>
        <w:rPr>
          <w:rFonts w:hint="eastAsia" w:ascii="黑体" w:hAnsi="黑体" w:eastAsia="黑体"/>
          <w:b w:val="0"/>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0" w:name="_Toc762520288"/>
    </w:p>
    <w:p>
      <w:pPr>
        <w:pStyle w:val="3"/>
        <w:jc w:val="center"/>
        <w:rPr>
          <w:rStyle w:val="16"/>
          <w:rFonts w:ascii="黑体" w:hAnsi="黑体" w:eastAsia="黑体"/>
          <w:b/>
          <w:bCs w:val="0"/>
        </w:rPr>
      </w:pPr>
      <w:r>
        <w:rPr>
          <w:rFonts w:hint="eastAsia" w:ascii="黑体" w:hAnsi="黑体" w:eastAsia="黑体"/>
          <w:b w:val="0"/>
        </w:rPr>
        <w:t>第一部分</w:t>
      </w:r>
      <w:r>
        <w:rPr>
          <w:rFonts w:ascii="黑体" w:hAnsi="黑体" w:eastAsia="黑体"/>
          <w:b w:val="0"/>
        </w:rPr>
        <w:t xml:space="preserve"> </w:t>
      </w:r>
      <w:r>
        <w:rPr>
          <w:rStyle w:val="16"/>
          <w:rFonts w:hint="eastAsia" w:ascii="黑体" w:hAnsi="黑体" w:eastAsia="黑体"/>
          <w:b w:val="0"/>
          <w:bCs w:val="0"/>
        </w:rPr>
        <w:t>部门概况</w:t>
      </w:r>
      <w:bookmarkEnd w:id="0"/>
    </w:p>
    <w:p>
      <w:pPr>
        <w:pStyle w:val="4"/>
        <w:keepNext/>
        <w:keepLines/>
        <w:pageBreakBefore w:val="0"/>
        <w:widowControl w:val="0"/>
        <w:kinsoku/>
        <w:wordWrap/>
        <w:overflowPunct/>
        <w:topLinePunct w:val="0"/>
        <w:autoSpaceDE/>
        <w:autoSpaceDN/>
        <w:bidi w:val="0"/>
        <w:adjustRightInd/>
        <w:snapToGrid/>
        <w:spacing w:before="20" w:after="20" w:line="416" w:lineRule="auto"/>
        <w:textAlignment w:val="auto"/>
        <w:rPr>
          <w:rStyle w:val="17"/>
          <w:rFonts w:ascii="仿宋" w:hAnsi="仿宋" w:eastAsia="仿宋"/>
          <w:b w:val="0"/>
          <w:bCs w:val="0"/>
        </w:rPr>
      </w:pPr>
      <w:bookmarkStart w:id="1" w:name="_Toc15377197"/>
      <w:bookmarkStart w:id="2" w:name="_Toc15396600"/>
      <w:bookmarkStart w:id="3" w:name="_Toc2144038751"/>
      <w:r>
        <w:rPr>
          <w:rFonts w:hint="eastAsia" w:ascii="黑体" w:hAnsi="黑体" w:eastAsia="黑体"/>
          <w:b w:val="0"/>
          <w:color w:val="000000"/>
        </w:rPr>
        <w:t>一、</w:t>
      </w:r>
      <w:bookmarkEnd w:id="1"/>
      <w:bookmarkEnd w:id="2"/>
      <w:r>
        <w:rPr>
          <w:rFonts w:hint="eastAsia" w:ascii="黑体" w:hAnsi="黑体" w:eastAsia="黑体"/>
          <w:b w:val="0"/>
          <w:color w:val="auto"/>
          <w:highlight w:val="none"/>
          <w:lang w:eastAsia="zh-CN"/>
        </w:rPr>
        <w:t>部门职责</w:t>
      </w:r>
      <w:bookmarkEnd w:id="3"/>
    </w:p>
    <w:p>
      <w:pPr>
        <w:spacing w:line="560" w:lineRule="exact"/>
        <w:ind w:firstLine="640" w:firstLineChars="200"/>
        <w:rPr>
          <w:rFonts w:ascii="仿宋_GB2312" w:eastAsia="仿宋_GB2312"/>
          <w:sz w:val="32"/>
          <w:szCs w:val="32"/>
        </w:rPr>
      </w:pPr>
      <w:bookmarkStart w:id="4" w:name="_Toc15396601"/>
      <w:bookmarkStart w:id="5" w:name="_Toc15377200"/>
      <w:bookmarkStart w:id="6" w:name="_Toc536046237"/>
      <w:r>
        <w:rPr>
          <w:rFonts w:hint="eastAsia" w:ascii="仿宋_GB2312" w:eastAsia="仿宋_GB2312"/>
          <w:sz w:val="32"/>
          <w:szCs w:val="32"/>
        </w:rPr>
        <w:t>自贡市沿滩区人民检察院是国家法律监督机关，对自贡市沿滩区人民代表大会及其常务委员会负责并报告工作。主要职责是：依法向区人民代表大会及其常务委员会提出议案；根据上级人民检察院确定的工作方针，部署我区检察工作任务；对刑事犯罪案件依法审查批捕，决定逮捕，审查起诉，提起公诉；依法对贪污贿赂犯罪、国家工作人员渎职犯罪、国家机关工作人员利用职权实施的非法拘禁、刑讯逼供、报复陷害、非法搜查的侵犯公民人身权利的犯罪和侵犯公民民主权利犯罪以及国家机关工作人员利用职务实施的犯罪案件进行侦查；依法对刑事诉讼、民事审判和行政诉讼活动实施法律监督；依法对执行机关刑事执行活动是否合法实行监督；受理单位和个人的报案、控告、检举、申诉、接受犯罪嫌疑人的自首；完成区委、区人大常委会和上级人民检察院交办的各项工作。</w:t>
      </w:r>
    </w:p>
    <w:p>
      <w:pPr>
        <w:pStyle w:val="4"/>
        <w:keepNext/>
        <w:keepLines/>
        <w:pageBreakBefore w:val="0"/>
        <w:widowControl w:val="0"/>
        <w:kinsoku/>
        <w:wordWrap/>
        <w:overflowPunct/>
        <w:topLinePunct w:val="0"/>
        <w:autoSpaceDE/>
        <w:autoSpaceDN/>
        <w:bidi w:val="0"/>
        <w:adjustRightInd/>
        <w:snapToGrid/>
        <w:spacing w:before="20" w:after="20" w:line="240" w:lineRule="auto"/>
        <w:textAlignment w:val="auto"/>
        <w:rPr>
          <w:rStyle w:val="17"/>
          <w:b w:val="0"/>
          <w:bCs w:val="0"/>
        </w:rPr>
      </w:pPr>
      <w:r>
        <w:rPr>
          <w:rFonts w:hint="eastAsia" w:ascii="黑体" w:eastAsia="黑体"/>
          <w:b w:val="0"/>
          <w:color w:val="000000"/>
        </w:rPr>
        <w:t>二、</w:t>
      </w:r>
      <w:r>
        <w:rPr>
          <w:rFonts w:hint="eastAsia" w:ascii="黑体" w:hAnsi="黑体" w:eastAsia="黑体"/>
          <w:b w:val="0"/>
          <w:color w:val="000000"/>
        </w:rPr>
        <w:t>机</w:t>
      </w:r>
      <w:r>
        <w:rPr>
          <w:rStyle w:val="17"/>
          <w:rFonts w:hint="eastAsia" w:ascii="黑体" w:hAnsi="黑体" w:eastAsia="黑体"/>
          <w:b w:val="0"/>
          <w:bCs w:val="0"/>
        </w:rPr>
        <w:t>构设置</w:t>
      </w:r>
      <w:bookmarkEnd w:id="4"/>
      <w:bookmarkEnd w:id="5"/>
      <w:bookmarkEnd w:id="6"/>
    </w:p>
    <w:p>
      <w:pPr>
        <w:ind w:firstLine="800" w:firstLineChars="250"/>
        <w:rPr>
          <w:rFonts w:hint="eastAsia" w:ascii="仿宋_GB2312" w:hAnsi="仿宋_GB2312" w:eastAsia="仿宋_GB2312" w:cs="仿宋_GB2312"/>
          <w:sz w:val="32"/>
          <w:szCs w:val="32"/>
        </w:rPr>
      </w:pPr>
      <w:r>
        <w:rPr>
          <w:rFonts w:hint="eastAsia" w:ascii="仿宋_GB2312" w:hAnsi="仿宋_GB2312" w:cs="仿宋_GB2312"/>
          <w:sz w:val="32"/>
          <w:szCs w:val="32"/>
          <w:lang w:eastAsia="zh-CN"/>
        </w:rPr>
        <w:t>自贡市沿滩区人民检察院</w:t>
      </w:r>
      <w:r>
        <w:rPr>
          <w:rFonts w:hint="eastAsia" w:ascii="仿宋_GB2312" w:hAnsi="仿宋_GB2312" w:eastAsia="仿宋_GB2312" w:cs="仿宋_GB2312"/>
          <w:sz w:val="32"/>
          <w:szCs w:val="32"/>
        </w:rPr>
        <w:t>下属二级</w:t>
      </w:r>
      <w:r>
        <w:rPr>
          <w:rFonts w:hint="eastAsia" w:ascii="仿宋_GB2312" w:hAnsi="仿宋_GB2312" w:eastAsia="仿宋_GB2312" w:cs="仿宋_GB2312"/>
          <w:sz w:val="32"/>
          <w:szCs w:val="32"/>
          <w:lang w:eastAsia="zh-CN"/>
        </w:rPr>
        <w:t>预算</w:t>
      </w:r>
      <w:r>
        <w:rPr>
          <w:rFonts w:hint="eastAsia" w:ascii="仿宋_GB2312" w:hAnsi="仿宋_GB2312" w:eastAsia="仿宋_GB2312" w:cs="仿宋_GB2312"/>
          <w:sz w:val="32"/>
          <w:szCs w:val="32"/>
        </w:rPr>
        <w:t>单位</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rPr>
        <w:t>个</w:t>
      </w:r>
      <w:r>
        <w:rPr>
          <w:rFonts w:hint="eastAsia" w:ascii="仿宋_GB2312" w:hAnsi="仿宋_GB2312" w:eastAsia="仿宋_GB2312" w:cs="仿宋_GB2312"/>
          <w:sz w:val="32"/>
          <w:szCs w:val="32"/>
          <w:lang w:eastAsia="zh-CN"/>
        </w:rPr>
        <w:t>（含主管局本级）</w:t>
      </w:r>
      <w:r>
        <w:rPr>
          <w:rFonts w:hint="eastAsia" w:ascii="仿宋_GB2312" w:hAnsi="仿宋_GB2312" w:eastAsia="仿宋_GB2312" w:cs="仿宋_GB2312"/>
          <w:sz w:val="32"/>
          <w:szCs w:val="32"/>
        </w:rPr>
        <w:t>，其中行政单位</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rPr>
        <w:t>个，参照公务员法管理的事业单位</w:t>
      </w:r>
      <w:r>
        <w:rPr>
          <w:rFonts w:hint="eastAsia" w:ascii="仿宋_GB2312" w:hAnsi="仿宋_GB2312" w:cs="仿宋_GB2312"/>
          <w:sz w:val="32"/>
          <w:szCs w:val="32"/>
          <w:lang w:val="en-US" w:eastAsia="zh-CN"/>
        </w:rPr>
        <w:t>0</w:t>
      </w:r>
      <w:r>
        <w:rPr>
          <w:rFonts w:hint="eastAsia" w:ascii="仿宋_GB2312" w:hAnsi="仿宋_GB2312" w:eastAsia="仿宋_GB2312" w:cs="仿宋_GB2312"/>
          <w:sz w:val="32"/>
          <w:szCs w:val="32"/>
        </w:rPr>
        <w:t>个，其他事业单位</w:t>
      </w:r>
      <w:r>
        <w:rPr>
          <w:rFonts w:hint="eastAsia" w:ascii="仿宋_GB2312" w:hAnsi="仿宋_GB2312" w:cs="仿宋_GB2312"/>
          <w:sz w:val="32"/>
          <w:szCs w:val="32"/>
          <w:lang w:val="en-US" w:eastAsia="zh-CN"/>
        </w:rPr>
        <w:t>0</w:t>
      </w:r>
      <w:r>
        <w:rPr>
          <w:rFonts w:hint="eastAsia" w:ascii="仿宋_GB2312" w:hAnsi="仿宋_GB2312" w:eastAsia="仿宋_GB2312" w:cs="仿宋_GB2312"/>
          <w:sz w:val="32"/>
          <w:szCs w:val="32"/>
        </w:rPr>
        <w:t>个。</w:t>
      </w:r>
    </w:p>
    <w:p>
      <w:pPr>
        <w:pStyle w:val="2"/>
        <w:adjustRightInd w:val="0"/>
        <w:snapToGrid w:val="0"/>
        <w:spacing w:before="93" w:line="600" w:lineRule="exact"/>
        <w:ind w:firstLine="672" w:firstLineChars="210"/>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纳入</w:t>
      </w:r>
      <w:r>
        <w:rPr>
          <w:rFonts w:hint="eastAsia" w:hAnsi="仿宋_GB2312" w:cs="仿宋_GB2312"/>
          <w:color w:val="000000"/>
          <w:sz w:val="32"/>
          <w:szCs w:val="32"/>
          <w:lang w:eastAsia="zh-CN"/>
        </w:rPr>
        <w:t>自贡市沿滩区人民检察院</w:t>
      </w: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年度部门决算编制范围的二级预算单位包括：</w:t>
      </w:r>
      <w:r>
        <w:rPr>
          <w:rFonts w:hint="eastAsia" w:hAnsi="仿宋_GB2312" w:cs="仿宋_GB2312"/>
          <w:color w:val="000000"/>
          <w:sz w:val="32"/>
          <w:szCs w:val="32"/>
          <w:lang w:eastAsia="zh-CN"/>
        </w:rPr>
        <w:t>自贡市沿滩区人民检察院（本级）。</w:t>
      </w:r>
    </w:p>
    <w:p>
      <w:pPr>
        <w:widowControl/>
        <w:jc w:val="left"/>
        <w:rPr>
          <w:rFonts w:ascii="仿宋" w:hAnsi="仿宋" w:eastAsia="仿宋"/>
          <w:color w:val="000000"/>
          <w:kern w:val="0"/>
          <w:sz w:val="32"/>
          <w:szCs w:val="32"/>
        </w:rPr>
      </w:pPr>
    </w:p>
    <w:p>
      <w:pPr>
        <w:pStyle w:val="3"/>
        <w:ind w:right="440"/>
        <w:jc w:val="right"/>
      </w:pPr>
      <w:bookmarkStart w:id="7" w:name="_Toc15377204"/>
      <w:bookmarkStart w:id="8" w:name="_Toc15396602"/>
      <w:bookmarkStart w:id="9" w:name="_Toc1685910977"/>
      <w:r>
        <w:rPr>
          <w:rFonts w:hint="eastAsia" w:ascii="黑体" w:hAnsi="黑体" w:eastAsia="黑体"/>
          <w:b w:val="0"/>
          <w:color w:val="000000"/>
        </w:rPr>
        <w:t>第二部分</w:t>
      </w:r>
      <w:r>
        <w:rPr>
          <w:rFonts w:ascii="黑体" w:hAnsi="黑体" w:eastAsia="黑体"/>
          <w:color w:val="000000"/>
        </w:rPr>
        <w:t xml:space="preserve"> </w:t>
      </w:r>
      <w:r>
        <w:rPr>
          <w:rStyle w:val="16"/>
          <w:rFonts w:ascii="黑体" w:hAnsi="黑体" w:eastAsia="黑体"/>
          <w:b w:val="0"/>
          <w:bCs w:val="0"/>
        </w:rPr>
        <w:t>202</w:t>
      </w:r>
      <w:r>
        <w:rPr>
          <w:rStyle w:val="16"/>
          <w:rFonts w:hint="eastAsia" w:ascii="黑体" w:hAnsi="黑体" w:eastAsia="黑体"/>
          <w:b w:val="0"/>
          <w:bCs w:val="0"/>
          <w:lang w:val="en-US" w:eastAsia="zh-CN"/>
        </w:rPr>
        <w:t>2</w:t>
      </w:r>
      <w:r>
        <w:rPr>
          <w:rStyle w:val="16"/>
          <w:rFonts w:hint="eastAsia" w:ascii="黑体" w:hAnsi="黑体" w:eastAsia="黑体"/>
          <w:b w:val="0"/>
          <w:bCs w:val="0"/>
        </w:rPr>
        <w:t>年度部门决算情况说明</w:t>
      </w:r>
      <w:bookmarkEnd w:id="7"/>
      <w:bookmarkEnd w:id="8"/>
      <w:bookmarkEnd w:id="9"/>
    </w:p>
    <w:p>
      <w:pPr>
        <w:pStyle w:val="18"/>
        <w:numPr>
          <w:ilvl w:val="0"/>
          <w:numId w:val="1"/>
        </w:numPr>
        <w:spacing w:line="600" w:lineRule="exact"/>
        <w:ind w:firstLineChars="0"/>
        <w:outlineLvl w:val="1"/>
        <w:rPr>
          <w:rStyle w:val="17"/>
          <w:rFonts w:ascii="黑体" w:hAnsi="黑体" w:eastAsia="黑体"/>
          <w:b w:val="0"/>
        </w:rPr>
      </w:pPr>
      <w:bookmarkStart w:id="10" w:name="_Toc15396603"/>
      <w:bookmarkStart w:id="11" w:name="_Toc15377205"/>
      <w:bookmarkStart w:id="12" w:name="_Toc780374100"/>
      <w:r>
        <w:rPr>
          <w:rFonts w:hint="eastAsia" w:ascii="黑体" w:hAnsi="黑体" w:eastAsia="黑体"/>
          <w:color w:val="000000"/>
          <w:sz w:val="32"/>
          <w:szCs w:val="32"/>
        </w:rPr>
        <w:t>收</w:t>
      </w:r>
      <w:r>
        <w:rPr>
          <w:rStyle w:val="17"/>
          <w:rFonts w:hint="eastAsia" w:ascii="黑体" w:hAnsi="黑体" w:eastAsia="黑体"/>
          <w:b w:val="0"/>
        </w:rPr>
        <w:t>入支出决算总体情况说明</w:t>
      </w:r>
      <w:bookmarkEnd w:id="10"/>
      <w:bookmarkEnd w:id="11"/>
      <w:bookmarkEnd w:id="12"/>
    </w:p>
    <w:p>
      <w:pPr>
        <w:spacing w:line="600" w:lineRule="exact"/>
        <w:ind w:firstLine="640" w:firstLineChars="200"/>
        <w:rPr>
          <w:rFonts w:hint="eastAsia" w:ascii="仿宋_GB2312" w:hAnsi="仿宋_GB2312" w:eastAsia="仿宋_GB2312" w:cs="仿宋_GB2312"/>
          <w:color w:val="auto"/>
          <w:sz w:val="32"/>
          <w:szCs w:val="32"/>
          <w:highlight w:val="yellow"/>
          <w:lang w:eastAsia="zh-CN"/>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年度收、支总计</w:t>
      </w:r>
      <w:r>
        <w:rPr>
          <w:rFonts w:hint="eastAsia" w:ascii="仿宋_GB2312" w:hAnsi="仿宋_GB2312" w:cs="仿宋_GB2312"/>
          <w:color w:val="auto"/>
          <w:sz w:val="32"/>
          <w:szCs w:val="32"/>
          <w:highlight w:val="none"/>
          <w:lang w:val="en-US" w:eastAsia="zh-CN"/>
        </w:rPr>
        <w:t>1008.36</w:t>
      </w:r>
      <w:r>
        <w:rPr>
          <w:rFonts w:hint="eastAsia" w:ascii="仿宋_GB2312" w:hAnsi="仿宋_GB2312" w:eastAsia="仿宋_GB2312" w:cs="仿宋_GB2312"/>
          <w:color w:val="auto"/>
          <w:sz w:val="32"/>
          <w:szCs w:val="32"/>
          <w:highlight w:val="none"/>
        </w:rPr>
        <w:t>万元。与20</w:t>
      </w:r>
      <w:r>
        <w:rPr>
          <w:rFonts w:hint="eastAsia" w:ascii="仿宋_GB2312" w:hAnsi="仿宋_GB2312" w:eastAsia="仿宋_GB2312" w:cs="仿宋_GB2312"/>
          <w:color w:val="auto"/>
          <w:sz w:val="32"/>
          <w:szCs w:val="32"/>
          <w:highlight w:val="none"/>
          <w:lang w:val="en-US" w:eastAsia="zh-CN"/>
        </w:rPr>
        <w:t>21</w:t>
      </w:r>
      <w:r>
        <w:rPr>
          <w:rFonts w:hint="eastAsia" w:ascii="仿宋_GB2312" w:hAnsi="仿宋_GB2312" w:eastAsia="仿宋_GB2312" w:cs="仿宋_GB2312"/>
          <w:color w:val="auto"/>
          <w:sz w:val="32"/>
          <w:szCs w:val="32"/>
          <w:highlight w:val="none"/>
        </w:rPr>
        <w:t>年相比，收、支总计各减少</w:t>
      </w:r>
      <w:r>
        <w:rPr>
          <w:rFonts w:hint="eastAsia" w:ascii="仿宋_GB2312" w:hAnsi="仿宋_GB2312" w:cs="仿宋_GB2312"/>
          <w:color w:val="auto"/>
          <w:sz w:val="32"/>
          <w:szCs w:val="32"/>
          <w:highlight w:val="none"/>
          <w:lang w:val="en-US" w:eastAsia="zh-CN"/>
        </w:rPr>
        <w:t>291.15</w:t>
      </w:r>
      <w:r>
        <w:rPr>
          <w:rFonts w:hint="eastAsia" w:ascii="仿宋_GB2312" w:hAnsi="仿宋_GB2312" w:eastAsia="仿宋_GB2312" w:cs="仿宋_GB2312"/>
          <w:color w:val="auto"/>
          <w:sz w:val="32"/>
          <w:szCs w:val="32"/>
          <w:highlight w:val="none"/>
        </w:rPr>
        <w:t>万元，下降</w:t>
      </w:r>
      <w:r>
        <w:rPr>
          <w:rFonts w:hint="eastAsia" w:ascii="仿宋_GB2312" w:hAnsi="仿宋_GB2312" w:cs="仿宋_GB2312"/>
          <w:color w:val="auto"/>
          <w:sz w:val="32"/>
          <w:szCs w:val="32"/>
          <w:highlight w:val="none"/>
          <w:lang w:val="en-US" w:eastAsia="zh-CN"/>
        </w:rPr>
        <w:t>22.4</w:t>
      </w:r>
      <w:r>
        <w:rPr>
          <w:rFonts w:hint="eastAsia" w:ascii="仿宋_GB2312" w:hAnsi="仿宋_GB2312" w:eastAsia="仿宋_GB2312" w:cs="仿宋_GB2312"/>
          <w:color w:val="auto"/>
          <w:sz w:val="32"/>
          <w:szCs w:val="32"/>
          <w:highlight w:val="none"/>
        </w:rPr>
        <w:t>%。主要变动原因是</w:t>
      </w:r>
      <w:r>
        <w:rPr>
          <w:rFonts w:hint="eastAsia" w:ascii="仿宋_GB2312" w:hAnsi="仿宋_GB2312" w:cs="仿宋_GB2312"/>
          <w:color w:val="auto"/>
          <w:sz w:val="32"/>
          <w:szCs w:val="32"/>
          <w:highlight w:val="none"/>
          <w:lang w:eastAsia="zh-CN"/>
        </w:rPr>
        <w:t>人员减少，无公务用车购置支出，其他相关支出减少。</w:t>
      </w:r>
    </w:p>
    <w:p>
      <w:pPr>
        <w:spacing w:line="600" w:lineRule="exact"/>
        <w:ind w:firstLine="640" w:firstLineChars="200"/>
        <w:rPr>
          <w:rFonts w:ascii="仿宋_GB2312" w:eastAsia="仿宋_GB2312"/>
          <w:color w:val="000000"/>
          <w:sz w:val="32"/>
          <w:szCs w:val="32"/>
        </w:rPr>
      </w:pPr>
      <w:r>
        <w:rPr>
          <w:rFonts w:hint="eastAsia" w:ascii="仿宋_GB2312" w:hAnsi="仿宋_GB2312" w:eastAsia="仿宋_GB2312" w:cs="仿宋_GB2312"/>
          <w:color w:val="000000"/>
          <w:sz w:val="32"/>
          <w:szCs w:val="32"/>
          <w:lang w:eastAsia="zh-CN"/>
        </w:rPr>
        <w:drawing>
          <wp:anchor distT="0" distB="0" distL="114300" distR="114300" simplePos="0" relativeHeight="251662336" behindDoc="0" locked="0" layoutInCell="1" allowOverlap="1">
            <wp:simplePos x="0" y="0"/>
            <wp:positionH relativeFrom="column">
              <wp:posOffset>125730</wp:posOffset>
            </wp:positionH>
            <wp:positionV relativeFrom="paragraph">
              <wp:posOffset>170180</wp:posOffset>
            </wp:positionV>
            <wp:extent cx="5080000" cy="2144395"/>
            <wp:effectExtent l="4445" t="4445" r="20955" b="22860"/>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Pr>
          <w:rFonts w:hint="eastAsia" w:ascii="仿宋_GB2312" w:hAnsi="仿宋_GB2312" w:eastAsia="仿宋_GB2312" w:cs="仿宋_GB2312"/>
          <w:color w:val="000000"/>
          <w:sz w:val="32"/>
          <w:szCs w:val="32"/>
        </w:rPr>
        <w:t>（图1：收、支决算总计变动情况图）（柱状图）</w:t>
      </w:r>
    </w:p>
    <w:p>
      <w:pPr>
        <w:pStyle w:val="18"/>
        <w:numPr>
          <w:ilvl w:val="0"/>
          <w:numId w:val="1"/>
        </w:numPr>
        <w:spacing w:line="600" w:lineRule="exact"/>
        <w:ind w:firstLineChars="0"/>
        <w:outlineLvl w:val="1"/>
        <w:rPr>
          <w:rStyle w:val="17"/>
          <w:rFonts w:ascii="黑体" w:hAnsi="黑体" w:eastAsia="黑体"/>
          <w:b w:val="0"/>
        </w:rPr>
      </w:pPr>
      <w:bookmarkStart w:id="13" w:name="_Toc15396604"/>
      <w:bookmarkStart w:id="14" w:name="_Toc15377206"/>
      <w:bookmarkStart w:id="15" w:name="_Toc2014380783"/>
      <w:r>
        <w:rPr>
          <w:rFonts w:hint="eastAsia" w:ascii="黑体" w:hAnsi="黑体" w:eastAsia="黑体"/>
          <w:color w:val="000000"/>
          <w:sz w:val="32"/>
          <w:szCs w:val="32"/>
        </w:rPr>
        <w:t>收</w:t>
      </w:r>
      <w:r>
        <w:rPr>
          <w:rStyle w:val="17"/>
          <w:rFonts w:hint="eastAsia" w:ascii="黑体" w:hAnsi="黑体" w:eastAsia="黑体"/>
          <w:b w:val="0"/>
        </w:rPr>
        <w:t>入决算情况说明</w:t>
      </w:r>
      <w:bookmarkEnd w:id="13"/>
      <w:bookmarkEnd w:id="14"/>
      <w:bookmarkEnd w:id="15"/>
    </w:p>
    <w:p>
      <w:pPr>
        <w:spacing w:line="600" w:lineRule="exact"/>
        <w:ind w:firstLine="640" w:firstLineChars="200"/>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年本年收入合计</w:t>
      </w:r>
      <w:r>
        <w:rPr>
          <w:rFonts w:hint="eastAsia" w:ascii="仿宋_GB2312" w:hAnsi="仿宋_GB2312" w:cs="仿宋_GB2312"/>
          <w:color w:val="auto"/>
          <w:sz w:val="32"/>
          <w:szCs w:val="32"/>
          <w:highlight w:val="none"/>
          <w:lang w:val="en-US" w:eastAsia="zh-CN"/>
        </w:rPr>
        <w:t>1008.36</w:t>
      </w:r>
      <w:r>
        <w:rPr>
          <w:rFonts w:hint="eastAsia" w:ascii="仿宋_GB2312" w:hAnsi="仿宋_GB2312" w:eastAsia="仿宋_GB2312" w:cs="仿宋_GB2312"/>
          <w:color w:val="auto"/>
          <w:sz w:val="32"/>
          <w:szCs w:val="32"/>
          <w:highlight w:val="none"/>
        </w:rPr>
        <w:t>万元，其中：一般公共预算财政拨款收入</w:t>
      </w:r>
      <w:r>
        <w:rPr>
          <w:rFonts w:hint="eastAsia" w:ascii="仿宋_GB2312" w:hAnsi="仿宋_GB2312" w:cs="仿宋_GB2312"/>
          <w:color w:val="auto"/>
          <w:sz w:val="32"/>
          <w:szCs w:val="32"/>
          <w:highlight w:val="none"/>
          <w:lang w:val="en-US" w:eastAsia="zh-CN"/>
        </w:rPr>
        <w:t>1008.36</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100</w:t>
      </w:r>
      <w:r>
        <w:rPr>
          <w:rFonts w:hint="eastAsia" w:ascii="仿宋_GB2312" w:hAnsi="仿宋_GB2312" w:eastAsia="仿宋_GB2312" w:cs="仿宋_GB2312"/>
          <w:color w:val="auto"/>
          <w:sz w:val="32"/>
          <w:szCs w:val="32"/>
          <w:highlight w:val="none"/>
        </w:rPr>
        <w:t>%；政府性基金预算财政拨款收入</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国有资本经营预算财政拨款收入</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%；上级补助收入</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%；事业收入</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%；经营收入</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%；附属单位上缴收入</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%；其他收入</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w:t>
      </w:r>
    </w:p>
    <w:p>
      <w:pPr>
        <w:spacing w:line="600" w:lineRule="exact"/>
        <w:jc w:val="center"/>
        <w:outlineLvl w:val="9"/>
        <w:rPr>
          <w:rFonts w:ascii="仿宋_GB2312" w:eastAsia="仿宋_GB2312"/>
          <w:color w:val="FF0000"/>
          <w:sz w:val="32"/>
          <w:szCs w:val="32"/>
        </w:rPr>
      </w:pPr>
      <w:r>
        <w:rPr>
          <w:rFonts w:hint="eastAsia" w:ascii="仿宋_GB2312" w:hAnsi="仿宋_GB2312" w:eastAsia="仿宋_GB2312" w:cs="仿宋_GB2312"/>
          <w:color w:val="000000"/>
          <w:sz w:val="32"/>
          <w:szCs w:val="32"/>
          <w:lang w:eastAsia="zh-CN"/>
        </w:rPr>
        <w:drawing>
          <wp:anchor distT="0" distB="0" distL="114300" distR="114300" simplePos="0" relativeHeight="251661312" behindDoc="0" locked="0" layoutInCell="1" allowOverlap="1">
            <wp:simplePos x="0" y="0"/>
            <wp:positionH relativeFrom="column">
              <wp:posOffset>202565</wp:posOffset>
            </wp:positionH>
            <wp:positionV relativeFrom="paragraph">
              <wp:posOffset>-4445</wp:posOffset>
            </wp:positionV>
            <wp:extent cx="4626610" cy="2757170"/>
            <wp:effectExtent l="4445" t="5080" r="17145" b="19050"/>
            <wp:wrapTopAndBottom/>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Pr>
          <w:rFonts w:hint="eastAsia" w:ascii="仿宋_GB2312" w:hAnsi="仿宋_GB2312" w:eastAsia="仿宋_GB2312" w:cs="仿宋_GB2312"/>
          <w:color w:val="000000"/>
          <w:sz w:val="32"/>
          <w:szCs w:val="32"/>
        </w:rPr>
        <w:t>（图2：收入决算结构图）（饼状图）</w:t>
      </w:r>
    </w:p>
    <w:p>
      <w:pPr>
        <w:pStyle w:val="18"/>
        <w:numPr>
          <w:ilvl w:val="0"/>
          <w:numId w:val="1"/>
        </w:numPr>
        <w:spacing w:line="600" w:lineRule="exact"/>
        <w:ind w:firstLineChars="0"/>
        <w:outlineLvl w:val="1"/>
        <w:rPr>
          <w:rStyle w:val="17"/>
          <w:rFonts w:ascii="黑体" w:hAnsi="黑体" w:eastAsia="黑体"/>
          <w:b w:val="0"/>
        </w:rPr>
      </w:pPr>
      <w:bookmarkStart w:id="16" w:name="_Toc15377207"/>
      <w:bookmarkStart w:id="17" w:name="_Toc15396605"/>
      <w:bookmarkStart w:id="18" w:name="_Toc763783022"/>
      <w:r>
        <w:rPr>
          <w:rFonts w:hint="eastAsia" w:ascii="黑体" w:hAnsi="黑体" w:eastAsia="黑体"/>
          <w:color w:val="000000"/>
          <w:sz w:val="32"/>
          <w:szCs w:val="32"/>
        </w:rPr>
        <w:t>支</w:t>
      </w:r>
      <w:r>
        <w:rPr>
          <w:rStyle w:val="17"/>
          <w:rFonts w:hint="eastAsia" w:ascii="黑体" w:hAnsi="黑体" w:eastAsia="黑体"/>
          <w:b w:val="0"/>
        </w:rPr>
        <w:t>出决算情况说明</w:t>
      </w:r>
      <w:bookmarkEnd w:id="16"/>
      <w:bookmarkEnd w:id="17"/>
      <w:bookmarkEnd w:id="18"/>
    </w:p>
    <w:p>
      <w:pPr>
        <w:spacing w:line="600" w:lineRule="exact"/>
        <w:ind w:firstLine="640" w:firstLineChars="200"/>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年本年支出合计</w:t>
      </w:r>
      <w:r>
        <w:rPr>
          <w:rFonts w:hint="eastAsia" w:ascii="仿宋_GB2312" w:hAnsi="仿宋_GB2312" w:cs="仿宋_GB2312"/>
          <w:color w:val="auto"/>
          <w:sz w:val="32"/>
          <w:szCs w:val="32"/>
          <w:highlight w:val="none"/>
          <w:lang w:val="en-US" w:eastAsia="zh-CN"/>
        </w:rPr>
        <w:t>1008.36</w:t>
      </w:r>
      <w:r>
        <w:rPr>
          <w:rFonts w:hint="eastAsia" w:ascii="仿宋_GB2312" w:hAnsi="仿宋_GB2312" w:eastAsia="仿宋_GB2312" w:cs="仿宋_GB2312"/>
          <w:color w:val="auto"/>
          <w:sz w:val="32"/>
          <w:szCs w:val="32"/>
          <w:highlight w:val="none"/>
        </w:rPr>
        <w:t>万元，其中：基本支出</w:t>
      </w:r>
      <w:r>
        <w:rPr>
          <w:rFonts w:hint="eastAsia" w:ascii="仿宋_GB2312" w:hAnsi="仿宋_GB2312" w:cs="仿宋_GB2312"/>
          <w:color w:val="auto"/>
          <w:sz w:val="32"/>
          <w:szCs w:val="32"/>
          <w:highlight w:val="none"/>
          <w:lang w:val="en-US" w:eastAsia="zh-CN"/>
        </w:rPr>
        <w:t>835.74</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82.88</w:t>
      </w:r>
      <w:r>
        <w:rPr>
          <w:rFonts w:hint="eastAsia" w:ascii="仿宋_GB2312" w:hAnsi="仿宋_GB2312" w:eastAsia="仿宋_GB2312" w:cs="仿宋_GB2312"/>
          <w:color w:val="auto"/>
          <w:sz w:val="32"/>
          <w:szCs w:val="32"/>
          <w:highlight w:val="none"/>
        </w:rPr>
        <w:t>%；项目支出</w:t>
      </w:r>
      <w:r>
        <w:rPr>
          <w:rFonts w:hint="eastAsia" w:ascii="仿宋_GB2312" w:hAnsi="仿宋_GB2312" w:cs="仿宋_GB2312"/>
          <w:color w:val="auto"/>
          <w:sz w:val="32"/>
          <w:szCs w:val="32"/>
          <w:highlight w:val="none"/>
          <w:lang w:val="en-US" w:eastAsia="zh-CN"/>
        </w:rPr>
        <w:t>172.62</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17.12</w:t>
      </w:r>
      <w:r>
        <w:rPr>
          <w:rFonts w:hint="eastAsia" w:ascii="仿宋_GB2312" w:hAnsi="仿宋_GB2312" w:eastAsia="仿宋_GB2312" w:cs="仿宋_GB2312"/>
          <w:color w:val="auto"/>
          <w:sz w:val="32"/>
          <w:szCs w:val="32"/>
          <w:highlight w:val="none"/>
        </w:rPr>
        <w:t>%；上缴上级支出</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%；经营支出</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%；对附属单位补助支出</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w:t>
      </w:r>
    </w:p>
    <w:p>
      <w:pPr>
        <w:spacing w:line="600" w:lineRule="exact"/>
        <w:ind w:firstLine="640" w:firstLineChars="200"/>
        <w:rPr>
          <w:rFonts w:ascii="仿宋_GB2312" w:eastAsia="仿宋_GB2312"/>
          <w:color w:val="FF0000"/>
          <w:sz w:val="32"/>
          <w:szCs w:val="32"/>
        </w:rPr>
      </w:pPr>
      <w:r>
        <w:rPr>
          <w:rFonts w:hint="eastAsia" w:ascii="仿宋_GB2312" w:hAnsi="仿宋_GB2312" w:eastAsia="仿宋_GB2312" w:cs="仿宋_GB2312"/>
          <w:color w:val="000000"/>
          <w:sz w:val="32"/>
          <w:szCs w:val="32"/>
        </w:rPr>
        <w:drawing>
          <wp:anchor distT="0" distB="0" distL="114300" distR="114300" simplePos="0" relativeHeight="251660288" behindDoc="0" locked="0" layoutInCell="1" allowOverlap="1">
            <wp:simplePos x="0" y="0"/>
            <wp:positionH relativeFrom="column">
              <wp:posOffset>307340</wp:posOffset>
            </wp:positionH>
            <wp:positionV relativeFrom="paragraph">
              <wp:posOffset>166370</wp:posOffset>
            </wp:positionV>
            <wp:extent cx="4500245" cy="2454275"/>
            <wp:effectExtent l="4445" t="4445" r="10160" b="17780"/>
            <wp:wrapTopAndBottom/>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rFonts w:hint="eastAsia" w:ascii="仿宋_GB2312" w:hAnsi="仿宋_GB2312" w:eastAsia="仿宋_GB2312" w:cs="仿宋_GB2312"/>
          <w:color w:val="000000"/>
          <w:sz w:val="32"/>
          <w:szCs w:val="32"/>
        </w:rPr>
        <w:t>（图3：支出决算结构图）（饼状图）</w:t>
      </w:r>
    </w:p>
    <w:p>
      <w:pPr>
        <w:spacing w:line="600" w:lineRule="exact"/>
        <w:ind w:firstLine="640" w:firstLineChars="200"/>
        <w:outlineLvl w:val="1"/>
        <w:rPr>
          <w:rStyle w:val="17"/>
          <w:rFonts w:ascii="黑体" w:hAnsi="黑体" w:eastAsia="黑体"/>
          <w:b w:val="0"/>
        </w:rPr>
      </w:pPr>
      <w:bookmarkStart w:id="19" w:name="_Toc15377208"/>
      <w:bookmarkStart w:id="20" w:name="_Toc1624033745"/>
      <w:bookmarkStart w:id="21" w:name="_Toc15396606"/>
      <w:r>
        <w:rPr>
          <w:rFonts w:hint="eastAsia" w:ascii="黑体" w:hAnsi="黑体" w:eastAsia="黑体"/>
          <w:color w:val="000000"/>
          <w:sz w:val="32"/>
          <w:szCs w:val="32"/>
        </w:rPr>
        <w:t>四、财</w:t>
      </w:r>
      <w:r>
        <w:rPr>
          <w:rStyle w:val="17"/>
          <w:rFonts w:hint="eastAsia" w:ascii="黑体" w:hAnsi="黑体" w:eastAsia="黑体"/>
          <w:b w:val="0"/>
        </w:rPr>
        <w:t>政拨款收入支出决算总体情况说明</w:t>
      </w:r>
      <w:bookmarkEnd w:id="19"/>
      <w:bookmarkEnd w:id="20"/>
      <w:bookmarkEnd w:id="21"/>
    </w:p>
    <w:p>
      <w:pPr>
        <w:spacing w:line="600" w:lineRule="exact"/>
        <w:ind w:firstLine="640" w:firstLineChars="200"/>
        <w:rPr>
          <w:rFonts w:ascii="仿宋" w:hAnsi="仿宋" w:eastAsia="仿宋"/>
          <w:color w:val="000000"/>
          <w:sz w:val="32"/>
          <w:szCs w:val="32"/>
        </w:rPr>
      </w:pPr>
      <w:r>
        <w:rPr>
          <w:rFonts w:hint="eastAsia" w:ascii="仿宋_GB2312" w:hAnsi="仿宋_GB2312" w:eastAsia="仿宋_GB2312" w:cs="仿宋_GB2312"/>
          <w:color w:val="000000"/>
          <w:sz w:val="32"/>
          <w:szCs w:val="32"/>
          <w:lang w:eastAsia="zh-CN"/>
        </w:rPr>
        <w:drawing>
          <wp:anchor distT="0" distB="0" distL="114300" distR="114300" simplePos="0" relativeHeight="251667456" behindDoc="0" locked="0" layoutInCell="1" allowOverlap="1">
            <wp:simplePos x="0" y="0"/>
            <wp:positionH relativeFrom="column">
              <wp:posOffset>226695</wp:posOffset>
            </wp:positionH>
            <wp:positionV relativeFrom="paragraph">
              <wp:posOffset>1693545</wp:posOffset>
            </wp:positionV>
            <wp:extent cx="5080000" cy="2144395"/>
            <wp:effectExtent l="4445" t="4445" r="20955" b="22860"/>
            <wp:wrapTopAndBottom/>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年财政拨款收、支总计</w:t>
      </w:r>
      <w:r>
        <w:rPr>
          <w:rFonts w:hint="eastAsia" w:ascii="仿宋_GB2312" w:hAnsi="仿宋_GB2312" w:cs="仿宋_GB2312"/>
          <w:color w:val="auto"/>
          <w:sz w:val="32"/>
          <w:szCs w:val="32"/>
          <w:highlight w:val="none"/>
          <w:lang w:val="en-US" w:eastAsia="zh-CN"/>
        </w:rPr>
        <w:t>1008.36</w:t>
      </w:r>
      <w:r>
        <w:rPr>
          <w:rFonts w:hint="eastAsia" w:ascii="仿宋_GB2312" w:hAnsi="仿宋_GB2312" w:eastAsia="仿宋_GB2312" w:cs="仿宋_GB2312"/>
          <w:color w:val="auto"/>
          <w:sz w:val="32"/>
          <w:szCs w:val="32"/>
          <w:highlight w:val="none"/>
        </w:rPr>
        <w:t>万元。与20</w:t>
      </w:r>
      <w:r>
        <w:rPr>
          <w:rFonts w:hint="eastAsia" w:ascii="仿宋_GB2312" w:hAnsi="仿宋_GB2312" w:eastAsia="仿宋_GB2312" w:cs="仿宋_GB2312"/>
          <w:color w:val="auto"/>
          <w:sz w:val="32"/>
          <w:szCs w:val="32"/>
          <w:highlight w:val="none"/>
          <w:lang w:val="en-US" w:eastAsia="zh-CN"/>
        </w:rPr>
        <w:t>21</w:t>
      </w:r>
      <w:r>
        <w:rPr>
          <w:rFonts w:hint="eastAsia" w:ascii="仿宋_GB2312" w:hAnsi="仿宋_GB2312" w:eastAsia="仿宋_GB2312" w:cs="仿宋_GB2312"/>
          <w:color w:val="auto"/>
          <w:sz w:val="32"/>
          <w:szCs w:val="32"/>
          <w:highlight w:val="none"/>
        </w:rPr>
        <w:t>年相比，财政拨款收、支总计各减少</w:t>
      </w:r>
      <w:r>
        <w:rPr>
          <w:rFonts w:hint="eastAsia" w:ascii="仿宋_GB2312" w:hAnsi="仿宋_GB2312" w:cs="仿宋_GB2312"/>
          <w:color w:val="auto"/>
          <w:sz w:val="32"/>
          <w:szCs w:val="32"/>
          <w:highlight w:val="none"/>
          <w:lang w:val="en-US" w:eastAsia="zh-CN"/>
        </w:rPr>
        <w:t>291.15</w:t>
      </w:r>
      <w:r>
        <w:rPr>
          <w:rFonts w:hint="eastAsia" w:ascii="仿宋_GB2312" w:hAnsi="仿宋_GB2312" w:eastAsia="仿宋_GB2312" w:cs="仿宋_GB2312"/>
          <w:color w:val="auto"/>
          <w:sz w:val="32"/>
          <w:szCs w:val="32"/>
          <w:highlight w:val="none"/>
        </w:rPr>
        <w:t>万元，下降</w:t>
      </w:r>
      <w:r>
        <w:rPr>
          <w:rFonts w:hint="eastAsia" w:ascii="仿宋_GB2312" w:hAnsi="仿宋_GB2312" w:cs="仿宋_GB2312"/>
          <w:color w:val="auto"/>
          <w:sz w:val="32"/>
          <w:szCs w:val="32"/>
          <w:highlight w:val="none"/>
          <w:lang w:val="en-US" w:eastAsia="zh-CN"/>
        </w:rPr>
        <w:t>22.4</w:t>
      </w:r>
      <w:r>
        <w:rPr>
          <w:rFonts w:hint="eastAsia" w:ascii="仿宋_GB2312" w:hAnsi="仿宋_GB2312" w:eastAsia="仿宋_GB2312" w:cs="仿宋_GB2312"/>
          <w:color w:val="auto"/>
          <w:sz w:val="32"/>
          <w:szCs w:val="32"/>
          <w:highlight w:val="none"/>
        </w:rPr>
        <w:t>%。主要变动原因是</w:t>
      </w:r>
      <w:r>
        <w:rPr>
          <w:rFonts w:hint="eastAsia" w:ascii="仿宋_GB2312" w:hAnsi="仿宋_GB2312" w:cs="仿宋_GB2312"/>
          <w:color w:val="auto"/>
          <w:sz w:val="32"/>
          <w:szCs w:val="32"/>
          <w:highlight w:val="none"/>
          <w:lang w:eastAsia="zh-CN"/>
        </w:rPr>
        <w:t>人员减少，无公务用车购置支出，其他相关支出减少。</w:t>
      </w:r>
    </w:p>
    <w:p>
      <w:pPr>
        <w:spacing w:line="600" w:lineRule="exact"/>
        <w:ind w:firstLine="640" w:firstLineChars="200"/>
      </w:pPr>
      <w:r>
        <w:rPr>
          <w:rFonts w:hint="eastAsia" w:ascii="仿宋_GB2312" w:hAnsi="仿宋_GB2312" w:eastAsia="仿宋_GB2312" w:cs="仿宋_GB2312"/>
          <w:color w:val="000000"/>
          <w:sz w:val="32"/>
          <w:szCs w:val="32"/>
        </w:rPr>
        <w:t>（图4：财政拨款收、支决算总计变动情况）（柱状图）</w:t>
      </w:r>
    </w:p>
    <w:p>
      <w:pPr>
        <w:spacing w:line="600" w:lineRule="exact"/>
        <w:ind w:firstLine="640" w:firstLineChars="200"/>
        <w:outlineLvl w:val="1"/>
        <w:rPr>
          <w:rStyle w:val="17"/>
          <w:rFonts w:ascii="黑体" w:hAnsi="黑体" w:eastAsia="黑体"/>
          <w:b w:val="0"/>
        </w:rPr>
      </w:pPr>
      <w:bookmarkStart w:id="22" w:name="_Toc15396607"/>
      <w:bookmarkStart w:id="23" w:name="_Toc1340687928"/>
      <w:bookmarkStart w:id="24" w:name="_Toc15377209"/>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17"/>
          <w:rFonts w:hint="eastAsia" w:ascii="黑体" w:hAnsi="黑体" w:eastAsia="黑体"/>
          <w:b w:val="0"/>
        </w:rPr>
        <w:t>般公共预算财政拨款支出决算情况说明</w:t>
      </w:r>
      <w:bookmarkEnd w:id="22"/>
      <w:bookmarkEnd w:id="23"/>
      <w:bookmarkEnd w:id="24"/>
    </w:p>
    <w:p>
      <w:pPr>
        <w:spacing w:line="600" w:lineRule="exact"/>
        <w:ind w:firstLine="643" w:firstLineChars="200"/>
        <w:outlineLvl w:val="2"/>
        <w:rPr>
          <w:rFonts w:ascii="仿宋" w:hAnsi="仿宋" w:eastAsia="仿宋"/>
          <w:b/>
          <w:color w:val="000000"/>
          <w:sz w:val="32"/>
          <w:szCs w:val="32"/>
        </w:rPr>
      </w:pPr>
      <w:bookmarkStart w:id="25" w:name="_Toc15377210"/>
      <w:r>
        <w:rPr>
          <w:rFonts w:hint="eastAsia" w:ascii="仿宋" w:hAnsi="仿宋" w:eastAsia="仿宋"/>
          <w:b/>
          <w:color w:val="000000"/>
          <w:sz w:val="32"/>
          <w:szCs w:val="32"/>
        </w:rPr>
        <w:t>（一）一般公共预算财政拨款支出决算总体情况</w:t>
      </w:r>
      <w:bookmarkEnd w:id="25"/>
    </w:p>
    <w:p>
      <w:pPr>
        <w:spacing w:line="600" w:lineRule="exact"/>
        <w:ind w:firstLine="640" w:firstLineChars="200"/>
        <w:rPr>
          <w:rFonts w:hint="eastAsia" w:ascii="仿宋_GB2312" w:hAnsi="仿宋_GB2312" w:eastAsia="仿宋_GB2312" w:cs="仿宋_GB2312"/>
          <w:color w:val="auto"/>
          <w:sz w:val="32"/>
          <w:szCs w:val="32"/>
          <w:highlight w:val="yellow"/>
        </w:rPr>
      </w:pPr>
      <w:r>
        <w:rPr>
          <w:rFonts w:hint="eastAsia" w:ascii="仿宋_GB2312" w:hAnsi="仿宋_GB2312" w:eastAsia="仿宋_GB2312" w:cs="仿宋_GB2312"/>
          <w:color w:val="000000"/>
          <w:sz w:val="32"/>
          <w:szCs w:val="32"/>
          <w:lang w:eastAsia="zh-CN"/>
        </w:rPr>
        <w:drawing>
          <wp:anchor distT="0" distB="0" distL="114300" distR="114300" simplePos="0" relativeHeight="251677696" behindDoc="0" locked="0" layoutInCell="1" allowOverlap="1">
            <wp:simplePos x="0" y="0"/>
            <wp:positionH relativeFrom="column">
              <wp:posOffset>107315</wp:posOffset>
            </wp:positionH>
            <wp:positionV relativeFrom="paragraph">
              <wp:posOffset>1581150</wp:posOffset>
            </wp:positionV>
            <wp:extent cx="5080000" cy="2144395"/>
            <wp:effectExtent l="4445" t="4445" r="20955" b="22860"/>
            <wp:wrapTopAndBottom/>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年一般公共预算财政拨款支出</w:t>
      </w:r>
      <w:r>
        <w:rPr>
          <w:rFonts w:hint="eastAsia" w:ascii="仿宋_GB2312" w:hAnsi="仿宋_GB2312" w:cs="仿宋_GB2312"/>
          <w:color w:val="auto"/>
          <w:sz w:val="32"/>
          <w:szCs w:val="32"/>
          <w:highlight w:val="none"/>
          <w:lang w:val="en-US" w:eastAsia="zh-CN"/>
        </w:rPr>
        <w:t>1008.36</w:t>
      </w:r>
      <w:r>
        <w:rPr>
          <w:rFonts w:hint="eastAsia" w:ascii="仿宋_GB2312" w:hAnsi="仿宋_GB2312" w:eastAsia="仿宋_GB2312" w:cs="仿宋_GB2312"/>
          <w:color w:val="auto"/>
          <w:sz w:val="32"/>
          <w:szCs w:val="32"/>
          <w:highlight w:val="none"/>
        </w:rPr>
        <w:t>万元，占本年支出合计的</w:t>
      </w:r>
      <w:r>
        <w:rPr>
          <w:rFonts w:hint="eastAsia" w:ascii="仿宋_GB2312" w:hAnsi="仿宋_GB2312" w:cs="仿宋_GB2312"/>
          <w:color w:val="auto"/>
          <w:sz w:val="32"/>
          <w:szCs w:val="32"/>
          <w:highlight w:val="none"/>
          <w:lang w:val="en-US" w:eastAsia="zh-CN"/>
        </w:rPr>
        <w:t>100</w:t>
      </w:r>
      <w:r>
        <w:rPr>
          <w:rFonts w:hint="eastAsia" w:ascii="仿宋_GB2312" w:hAnsi="仿宋_GB2312" w:eastAsia="仿宋_GB2312" w:cs="仿宋_GB2312"/>
          <w:color w:val="auto"/>
          <w:sz w:val="32"/>
          <w:szCs w:val="32"/>
          <w:highlight w:val="none"/>
        </w:rPr>
        <w:t>%。与20</w:t>
      </w:r>
      <w:r>
        <w:rPr>
          <w:rFonts w:hint="eastAsia" w:ascii="仿宋_GB2312" w:hAnsi="仿宋_GB2312" w:eastAsia="仿宋_GB2312" w:cs="仿宋_GB2312"/>
          <w:color w:val="auto"/>
          <w:sz w:val="32"/>
          <w:szCs w:val="32"/>
          <w:highlight w:val="none"/>
          <w:lang w:val="en-US" w:eastAsia="zh-CN"/>
        </w:rPr>
        <w:t>21</w:t>
      </w:r>
      <w:r>
        <w:rPr>
          <w:rFonts w:hint="eastAsia" w:ascii="仿宋_GB2312" w:hAnsi="仿宋_GB2312" w:eastAsia="仿宋_GB2312" w:cs="仿宋_GB2312"/>
          <w:color w:val="auto"/>
          <w:sz w:val="32"/>
          <w:szCs w:val="32"/>
          <w:highlight w:val="none"/>
        </w:rPr>
        <w:t>年相比，一般公共预算财政拨款</w:t>
      </w:r>
      <w:r>
        <w:rPr>
          <w:rFonts w:hint="eastAsia" w:ascii="仿宋_GB2312" w:hAnsi="仿宋_GB2312" w:eastAsia="仿宋_GB2312" w:cs="仿宋_GB2312"/>
          <w:color w:val="auto"/>
          <w:sz w:val="32"/>
          <w:szCs w:val="32"/>
          <w:highlight w:val="none"/>
          <w:lang w:eastAsia="zh-CN"/>
        </w:rPr>
        <w:t>支出</w:t>
      </w:r>
      <w:r>
        <w:rPr>
          <w:rFonts w:hint="eastAsia" w:ascii="仿宋_GB2312" w:hAnsi="仿宋_GB2312" w:eastAsia="仿宋_GB2312" w:cs="仿宋_GB2312"/>
          <w:color w:val="auto"/>
          <w:sz w:val="32"/>
          <w:szCs w:val="32"/>
          <w:highlight w:val="none"/>
        </w:rPr>
        <w:t>减少</w:t>
      </w:r>
      <w:r>
        <w:rPr>
          <w:rFonts w:hint="eastAsia" w:ascii="仿宋_GB2312" w:hAnsi="仿宋_GB2312" w:cs="仿宋_GB2312"/>
          <w:color w:val="auto"/>
          <w:sz w:val="32"/>
          <w:szCs w:val="32"/>
          <w:highlight w:val="none"/>
          <w:lang w:val="en-US" w:eastAsia="zh-CN"/>
        </w:rPr>
        <w:t>291.15</w:t>
      </w:r>
      <w:r>
        <w:rPr>
          <w:rFonts w:hint="eastAsia" w:ascii="仿宋_GB2312" w:hAnsi="仿宋_GB2312" w:eastAsia="仿宋_GB2312" w:cs="仿宋_GB2312"/>
          <w:color w:val="auto"/>
          <w:sz w:val="32"/>
          <w:szCs w:val="32"/>
          <w:highlight w:val="none"/>
        </w:rPr>
        <w:t>万元，下降</w:t>
      </w:r>
      <w:r>
        <w:rPr>
          <w:rFonts w:hint="eastAsia" w:ascii="仿宋_GB2312" w:hAnsi="仿宋_GB2312" w:cs="仿宋_GB2312"/>
          <w:color w:val="auto"/>
          <w:sz w:val="32"/>
          <w:szCs w:val="32"/>
          <w:highlight w:val="none"/>
          <w:lang w:val="en-US" w:eastAsia="zh-CN"/>
        </w:rPr>
        <w:t>22.4</w:t>
      </w:r>
      <w:r>
        <w:rPr>
          <w:rFonts w:hint="eastAsia" w:ascii="仿宋_GB2312" w:hAnsi="仿宋_GB2312" w:eastAsia="仿宋_GB2312" w:cs="仿宋_GB2312"/>
          <w:color w:val="auto"/>
          <w:sz w:val="32"/>
          <w:szCs w:val="32"/>
          <w:highlight w:val="none"/>
        </w:rPr>
        <w:t>%。主要变动原因是</w:t>
      </w:r>
      <w:r>
        <w:rPr>
          <w:rFonts w:hint="eastAsia" w:ascii="仿宋_GB2312" w:hAnsi="仿宋_GB2312" w:cs="仿宋_GB2312"/>
          <w:color w:val="auto"/>
          <w:sz w:val="32"/>
          <w:szCs w:val="32"/>
          <w:highlight w:val="none"/>
          <w:lang w:eastAsia="zh-CN"/>
        </w:rPr>
        <w:t>人员减少，无公务用车购置支出，其他相关支出减少。</w: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ascii="仿宋" w:hAnsi="仿宋" w:eastAsia="仿宋"/>
          <w:color w:val="000000"/>
          <w:sz w:val="32"/>
          <w:szCs w:val="32"/>
        </w:rPr>
      </w:pPr>
      <w:r>
        <w:rPr>
          <w:rFonts w:hint="eastAsia" w:ascii="仿宋_GB2312" w:hAnsi="仿宋_GB2312" w:eastAsia="仿宋_GB2312" w:cs="仿宋_GB2312"/>
          <w:color w:val="000000"/>
          <w:sz w:val="32"/>
          <w:szCs w:val="32"/>
        </w:rPr>
        <w:t>（图5：一般公共预算财政拨款支出决算变动情况）（</w:t>
      </w:r>
      <w:r>
        <w:rPr>
          <w:rFonts w:hint="eastAsia" w:ascii="仿宋_GB2312" w:hAnsi="仿宋_GB2312" w:cs="仿宋_GB2312"/>
          <w:color w:val="000000"/>
          <w:sz w:val="32"/>
          <w:szCs w:val="32"/>
          <w:lang w:eastAsia="zh-CN"/>
        </w:rPr>
        <w:t>柱</w:t>
      </w:r>
      <w:r>
        <w:rPr>
          <w:rFonts w:hint="eastAsia" w:ascii="仿宋_GB2312" w:hAnsi="仿宋_GB2312" w:eastAsia="仿宋_GB2312" w:cs="仿宋_GB2312"/>
          <w:color w:val="000000"/>
          <w:sz w:val="32"/>
          <w:szCs w:val="32"/>
        </w:rPr>
        <w:t>状图）</w:t>
      </w:r>
    </w:p>
    <w:p>
      <w:pPr>
        <w:spacing w:line="600" w:lineRule="exact"/>
        <w:ind w:firstLine="643" w:firstLineChars="200"/>
        <w:outlineLvl w:val="2"/>
        <w:rPr>
          <w:rFonts w:ascii="仿宋" w:hAnsi="仿宋" w:eastAsia="仿宋"/>
          <w:b/>
          <w:color w:val="000000"/>
          <w:sz w:val="32"/>
          <w:szCs w:val="32"/>
        </w:rPr>
      </w:pPr>
      <w:bookmarkStart w:id="26" w:name="_Toc15377211"/>
      <w:r>
        <w:rPr>
          <w:rFonts w:hint="eastAsia" w:ascii="仿宋" w:hAnsi="仿宋" w:eastAsia="仿宋"/>
          <w:b/>
          <w:color w:val="000000"/>
          <w:sz w:val="32"/>
          <w:szCs w:val="32"/>
        </w:rPr>
        <w:t>（二）一般公共预算财政拨款支出决算结构情况</w:t>
      </w:r>
      <w:bookmarkEnd w:id="26"/>
    </w:p>
    <w:p>
      <w:pPr>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年一般公共预算财政拨款支出</w:t>
      </w:r>
      <w:r>
        <w:rPr>
          <w:rFonts w:hint="eastAsia" w:ascii="仿宋_GB2312" w:hAnsi="仿宋_GB2312" w:cs="仿宋_GB2312"/>
          <w:color w:val="auto"/>
          <w:sz w:val="32"/>
          <w:szCs w:val="32"/>
          <w:highlight w:val="none"/>
          <w:lang w:val="en-US" w:eastAsia="zh-CN"/>
        </w:rPr>
        <w:t>1008.36</w:t>
      </w:r>
      <w:r>
        <w:rPr>
          <w:rFonts w:hint="eastAsia" w:ascii="仿宋_GB2312" w:hAnsi="仿宋_GB2312" w:eastAsia="仿宋_GB2312" w:cs="仿宋_GB2312"/>
          <w:color w:val="auto"/>
          <w:sz w:val="32"/>
          <w:szCs w:val="32"/>
          <w:highlight w:val="none"/>
        </w:rPr>
        <w:t>万元，主要用于以下方面:</w:t>
      </w:r>
      <w:r>
        <w:rPr>
          <w:rFonts w:hint="eastAsia" w:ascii="仿宋_GB2312" w:hAnsi="仿宋_GB2312" w:cs="仿宋_GB2312"/>
          <w:color w:val="auto"/>
          <w:sz w:val="32"/>
          <w:szCs w:val="32"/>
          <w:highlight w:val="none"/>
          <w:lang w:eastAsia="zh-CN"/>
        </w:rPr>
        <w:t>公共安全支出</w:t>
      </w:r>
      <w:r>
        <w:rPr>
          <w:rFonts w:hint="eastAsia" w:ascii="仿宋_GB2312" w:hAnsi="仿宋_GB2312" w:cs="仿宋_GB2312"/>
          <w:color w:val="auto"/>
          <w:sz w:val="32"/>
          <w:szCs w:val="32"/>
          <w:highlight w:val="none"/>
          <w:lang w:val="en-US" w:eastAsia="zh-CN"/>
        </w:rPr>
        <w:t>799.93</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79.33</w:t>
      </w:r>
      <w:r>
        <w:rPr>
          <w:rFonts w:hint="eastAsia" w:ascii="仿宋_GB2312" w:hAnsi="仿宋_GB2312" w:eastAsia="仿宋_GB2312" w:cs="仿宋_GB2312"/>
          <w:color w:val="auto"/>
          <w:sz w:val="32"/>
          <w:szCs w:val="32"/>
          <w:highlight w:val="none"/>
        </w:rPr>
        <w:t>%；</w:t>
      </w:r>
      <w:r>
        <w:rPr>
          <w:rFonts w:hint="eastAsia" w:ascii="仿宋_GB2312" w:hAnsi="仿宋_GB2312" w:cs="仿宋_GB2312"/>
          <w:color w:val="auto"/>
          <w:sz w:val="32"/>
          <w:szCs w:val="32"/>
          <w:highlight w:val="none"/>
          <w:lang w:eastAsia="zh-CN"/>
        </w:rPr>
        <w:t>社会保障和就业支出</w:t>
      </w:r>
      <w:r>
        <w:rPr>
          <w:rFonts w:hint="eastAsia" w:ascii="仿宋_GB2312" w:hAnsi="仿宋_GB2312" w:cs="仿宋_GB2312"/>
          <w:color w:val="auto"/>
          <w:sz w:val="32"/>
          <w:szCs w:val="32"/>
          <w:highlight w:val="none"/>
          <w:lang w:val="en-US" w:eastAsia="zh-CN"/>
        </w:rPr>
        <w:t>90.95</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9.02</w:t>
      </w:r>
      <w:r>
        <w:rPr>
          <w:rFonts w:hint="eastAsia" w:ascii="仿宋_GB2312" w:hAnsi="仿宋_GB2312" w:eastAsia="仿宋_GB2312" w:cs="仿宋_GB2312"/>
          <w:color w:val="auto"/>
          <w:sz w:val="32"/>
          <w:szCs w:val="32"/>
          <w:highlight w:val="none"/>
        </w:rPr>
        <w:t>%；</w:t>
      </w:r>
      <w:r>
        <w:rPr>
          <w:rFonts w:hint="eastAsia" w:ascii="仿宋_GB2312" w:hAnsi="仿宋_GB2312" w:cs="仿宋_GB2312"/>
          <w:color w:val="auto"/>
          <w:sz w:val="32"/>
          <w:szCs w:val="32"/>
          <w:highlight w:val="none"/>
          <w:lang w:eastAsia="zh-CN"/>
        </w:rPr>
        <w:t>卫生健康支出</w:t>
      </w:r>
      <w:r>
        <w:rPr>
          <w:rFonts w:hint="eastAsia" w:ascii="仿宋_GB2312" w:hAnsi="仿宋_GB2312" w:cs="仿宋_GB2312"/>
          <w:color w:val="auto"/>
          <w:sz w:val="32"/>
          <w:szCs w:val="32"/>
          <w:highlight w:val="none"/>
          <w:lang w:val="en-US" w:eastAsia="zh-CN"/>
        </w:rPr>
        <w:t>41.31</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4.10</w:t>
      </w:r>
      <w:r>
        <w:rPr>
          <w:rFonts w:hint="eastAsia" w:ascii="仿宋_GB2312" w:hAnsi="仿宋_GB2312" w:eastAsia="仿宋_GB2312" w:cs="仿宋_GB2312"/>
          <w:color w:val="auto"/>
          <w:sz w:val="32"/>
          <w:szCs w:val="32"/>
          <w:highlight w:val="none"/>
        </w:rPr>
        <w:t>%；</w:t>
      </w:r>
      <w:r>
        <w:rPr>
          <w:rFonts w:hint="eastAsia" w:ascii="仿宋_GB2312" w:hAnsi="仿宋_GB2312" w:cs="仿宋_GB2312"/>
          <w:color w:val="auto"/>
          <w:sz w:val="32"/>
          <w:szCs w:val="32"/>
          <w:highlight w:val="none"/>
          <w:lang w:eastAsia="zh-CN"/>
        </w:rPr>
        <w:t>住房保障支出</w:t>
      </w:r>
      <w:r>
        <w:rPr>
          <w:rFonts w:hint="eastAsia" w:ascii="仿宋_GB2312" w:hAnsi="仿宋_GB2312" w:cs="仿宋_GB2312"/>
          <w:color w:val="auto"/>
          <w:sz w:val="32"/>
          <w:szCs w:val="32"/>
          <w:highlight w:val="none"/>
          <w:lang w:val="en-US" w:eastAsia="zh-CN"/>
        </w:rPr>
        <w:t>76.17万元，7.55%</w:t>
      </w:r>
      <w:r>
        <w:rPr>
          <w:rFonts w:hint="eastAsia" w:ascii="仿宋_GB2312" w:hAnsi="仿宋_GB2312" w:eastAsia="仿宋_GB2312" w:cs="仿宋_GB2312"/>
          <w:color w:val="auto"/>
          <w:sz w:val="32"/>
          <w:szCs w:val="32"/>
          <w:highlight w:val="none"/>
        </w:rPr>
        <w:t>。</w:t>
      </w:r>
    </w:p>
    <w:p>
      <w:pPr>
        <w:spacing w:line="600" w:lineRule="exact"/>
        <w:rPr>
          <w:rFonts w:ascii="仿宋" w:hAnsi="仿宋" w:eastAsia="仿宋"/>
          <w:color w:val="000000"/>
          <w:sz w:val="32"/>
          <w:szCs w:val="32"/>
        </w:rPr>
      </w:pPr>
      <w:r>
        <w:rPr>
          <w:rFonts w:hint="eastAsia" w:ascii="仿宋" w:hAnsi="仿宋" w:eastAsia="仿宋"/>
          <w:color w:val="000000"/>
          <w:sz w:val="32"/>
          <w:szCs w:val="32"/>
          <w:lang w:eastAsia="zh-CN"/>
        </w:rPr>
        <w:drawing>
          <wp:anchor distT="0" distB="0" distL="114300" distR="114300" simplePos="0" relativeHeight="251678720" behindDoc="0" locked="0" layoutInCell="1" allowOverlap="1">
            <wp:simplePos x="0" y="0"/>
            <wp:positionH relativeFrom="column">
              <wp:posOffset>100330</wp:posOffset>
            </wp:positionH>
            <wp:positionV relativeFrom="paragraph">
              <wp:posOffset>111760</wp:posOffset>
            </wp:positionV>
            <wp:extent cx="5222240" cy="2357755"/>
            <wp:effectExtent l="4445" t="4445" r="12065" b="19050"/>
            <wp:wrapTopAndBottom/>
            <wp:docPr id="15"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仿宋_GB2312" w:hAnsi="仿宋_GB2312" w:eastAsia="仿宋_GB2312" w:cs="仿宋_GB2312"/>
          <w:color w:val="000000"/>
          <w:sz w:val="32"/>
          <w:szCs w:val="32"/>
        </w:rPr>
        <w:t>（图6：一般公共预算财政拨款支出决算结构）（饼状图）</w:t>
      </w:r>
    </w:p>
    <w:p>
      <w:pPr>
        <w:spacing w:line="600" w:lineRule="exact"/>
        <w:ind w:firstLine="643" w:firstLineChars="200"/>
        <w:outlineLvl w:val="2"/>
        <w:rPr>
          <w:rFonts w:ascii="仿宋" w:hAnsi="仿宋" w:eastAsia="仿宋"/>
          <w:b/>
          <w:color w:val="000000"/>
          <w:sz w:val="32"/>
          <w:szCs w:val="32"/>
        </w:rPr>
      </w:pPr>
      <w:bookmarkStart w:id="27" w:name="_Toc15377212"/>
      <w:r>
        <w:rPr>
          <w:rFonts w:hint="eastAsia" w:ascii="仿宋" w:hAnsi="仿宋" w:eastAsia="仿宋"/>
          <w:b/>
          <w:color w:val="000000"/>
          <w:sz w:val="32"/>
          <w:szCs w:val="32"/>
        </w:rPr>
        <w:t>（三）一般公共预算财政拨款支出决算具体情况</w:t>
      </w:r>
      <w:bookmarkEnd w:id="27"/>
    </w:p>
    <w:p>
      <w:pPr>
        <w:spacing w:line="600" w:lineRule="exact"/>
        <w:ind w:firstLine="643" w:firstLineChars="200"/>
        <w:outlineLvl w:val="2"/>
        <w:rPr>
          <w:rFonts w:hint="eastAsia" w:ascii="仿宋_GB2312" w:hAnsi="仿宋_GB2312" w:eastAsia="仿宋_GB2312" w:cs="仿宋_GB2312"/>
          <w:color w:val="auto"/>
          <w:sz w:val="32"/>
          <w:szCs w:val="32"/>
          <w:highlight w:val="none"/>
        </w:rPr>
      </w:pPr>
      <w:bookmarkStart w:id="28" w:name="_Toc15377444"/>
      <w:bookmarkStart w:id="29" w:name="_Toc15378460"/>
      <w:bookmarkStart w:id="30" w:name="_Toc15377213"/>
      <w:r>
        <w:rPr>
          <w:rFonts w:hint="eastAsia" w:ascii="仿宋_GB2312" w:hAnsi="仿宋_GB2312" w:eastAsia="仿宋_GB2312" w:cs="仿宋_GB2312"/>
          <w:b/>
          <w:color w:val="auto"/>
          <w:sz w:val="32"/>
          <w:szCs w:val="32"/>
          <w:highlight w:val="none"/>
        </w:rPr>
        <w:t>20</w:t>
      </w:r>
      <w:r>
        <w:rPr>
          <w:rFonts w:hint="eastAsia" w:ascii="仿宋_GB2312" w:hAnsi="仿宋_GB2312" w:eastAsia="仿宋_GB2312" w:cs="仿宋_GB2312"/>
          <w:b/>
          <w:color w:val="auto"/>
          <w:sz w:val="32"/>
          <w:szCs w:val="32"/>
          <w:highlight w:val="none"/>
          <w:lang w:val="en-US" w:eastAsia="zh-CN"/>
        </w:rPr>
        <w:t>22</w:t>
      </w:r>
      <w:r>
        <w:rPr>
          <w:rFonts w:hint="eastAsia" w:ascii="仿宋_GB2312" w:hAnsi="仿宋_GB2312" w:eastAsia="仿宋_GB2312" w:cs="仿宋_GB2312"/>
          <w:b/>
          <w:color w:val="auto"/>
          <w:sz w:val="32"/>
          <w:szCs w:val="32"/>
          <w:highlight w:val="none"/>
        </w:rPr>
        <w:t>年</w:t>
      </w:r>
      <w:r>
        <w:rPr>
          <w:rFonts w:hint="eastAsia" w:ascii="仿宋_GB2312" w:hAnsi="仿宋_GB2312" w:eastAsia="仿宋_GB2312" w:cs="仿宋_GB2312"/>
          <w:b/>
          <w:color w:val="auto"/>
          <w:sz w:val="32"/>
          <w:szCs w:val="32"/>
          <w:highlight w:val="none"/>
          <w:lang w:eastAsia="zh-CN"/>
        </w:rPr>
        <w:t>一</w:t>
      </w:r>
      <w:r>
        <w:rPr>
          <w:rFonts w:hint="eastAsia" w:ascii="仿宋_GB2312" w:hAnsi="仿宋_GB2312" w:eastAsia="仿宋_GB2312" w:cs="仿宋_GB2312"/>
          <w:b/>
          <w:color w:val="auto"/>
          <w:sz w:val="32"/>
          <w:szCs w:val="32"/>
          <w:highlight w:val="none"/>
        </w:rPr>
        <w:t>般公共预算支出决算数为</w:t>
      </w:r>
      <w:r>
        <w:rPr>
          <w:rFonts w:hint="eastAsia" w:ascii="仿宋_GB2312" w:hAnsi="仿宋_GB2312" w:cs="仿宋_GB2312"/>
          <w:b/>
          <w:color w:val="auto"/>
          <w:sz w:val="32"/>
          <w:szCs w:val="32"/>
          <w:highlight w:val="none"/>
          <w:lang w:val="en-US" w:eastAsia="zh-CN"/>
        </w:rPr>
        <w:t>1008.36万元</w:t>
      </w:r>
      <w:r>
        <w:rPr>
          <w:rFonts w:hint="eastAsia" w:ascii="仿宋_GB2312" w:hAnsi="仿宋_GB2312" w:eastAsia="仿宋_GB2312" w:cs="仿宋_GB2312"/>
          <w:color w:val="auto"/>
          <w:sz w:val="32"/>
          <w:szCs w:val="32"/>
          <w:highlight w:val="none"/>
        </w:rPr>
        <w:t>，</w:t>
      </w:r>
      <w:r>
        <w:rPr>
          <w:rStyle w:val="14"/>
          <w:rFonts w:hint="eastAsia" w:ascii="仿宋_GB2312" w:hAnsi="仿宋_GB2312" w:eastAsia="仿宋_GB2312" w:cs="仿宋_GB2312"/>
          <w:bCs/>
          <w:color w:val="auto"/>
          <w:sz w:val="32"/>
          <w:szCs w:val="32"/>
          <w:highlight w:val="none"/>
        </w:rPr>
        <w:t>完成预算</w:t>
      </w:r>
      <w:r>
        <w:rPr>
          <w:rStyle w:val="14"/>
          <w:rFonts w:hint="eastAsia" w:ascii="仿宋_GB2312" w:hAnsi="仿宋_GB2312" w:cs="仿宋_GB2312"/>
          <w:bCs/>
          <w:color w:val="auto"/>
          <w:sz w:val="32"/>
          <w:szCs w:val="32"/>
          <w:highlight w:val="none"/>
          <w:lang w:val="en-US" w:eastAsia="zh-CN"/>
        </w:rPr>
        <w:t>100</w:t>
      </w:r>
      <w:r>
        <w:rPr>
          <w:rStyle w:val="14"/>
          <w:rFonts w:hint="eastAsia" w:ascii="仿宋_GB2312" w:hAnsi="仿宋_GB2312" w:eastAsia="仿宋_GB2312" w:cs="仿宋_GB2312"/>
          <w:bCs/>
          <w:color w:val="auto"/>
          <w:sz w:val="32"/>
          <w:szCs w:val="32"/>
          <w:highlight w:val="none"/>
        </w:rPr>
        <w:t>%。其中：</w:t>
      </w:r>
      <w:bookmarkEnd w:id="28"/>
      <w:bookmarkEnd w:id="29"/>
      <w:bookmarkEnd w:id="30"/>
    </w:p>
    <w:p>
      <w:pPr>
        <w:spacing w:line="560" w:lineRule="exact"/>
        <w:ind w:firstLine="643" w:firstLineChars="200"/>
        <w:rPr>
          <w:rFonts w:hint="eastAsia" w:ascii="仿宋_GB2312" w:hAnsi="仿宋_GB2312" w:eastAsia="仿宋_GB2312" w:cs="仿宋_GB2312"/>
          <w:b/>
          <w:color w:val="000000"/>
          <w:sz w:val="32"/>
          <w:szCs w:val="32"/>
          <w:lang w:eastAsia="zh-CN"/>
        </w:rPr>
      </w:pPr>
      <w:r>
        <w:rPr>
          <w:rStyle w:val="14"/>
          <w:rFonts w:hint="eastAsia" w:ascii="仿宋_GB2312" w:hAnsi="仿宋_GB2312" w:eastAsia="仿宋_GB2312" w:cs="仿宋_GB2312"/>
          <w:bCs/>
          <w:color w:val="auto"/>
          <w:sz w:val="32"/>
          <w:szCs w:val="32"/>
          <w:highlight w:val="none"/>
        </w:rPr>
        <w:t>1</w:t>
      </w:r>
      <w:r>
        <w:rPr>
          <w:rFonts w:hint="eastAsia" w:ascii="仿宋_GB2312" w:hAnsi="仿宋_GB2312" w:eastAsia="仿宋_GB2312" w:cs="仿宋_GB2312"/>
          <w:b/>
          <w:color w:val="000000" w:themeColor="text1"/>
          <w:sz w:val="32"/>
          <w:szCs w:val="32"/>
          <w14:textFill>
            <w14:solidFill>
              <w14:schemeClr w14:val="tx1"/>
            </w14:solidFill>
          </w14:textFill>
        </w:rPr>
        <w:t>公共安全支出（类）检察（款）行政运行（项）</w:t>
      </w:r>
      <w:r>
        <w:rPr>
          <w:rStyle w:val="14"/>
          <w:rFonts w:hint="eastAsia" w:ascii="仿宋_GB2312" w:hAnsi="仿宋_GB2312" w:eastAsia="仿宋_GB2312" w:cs="仿宋_GB2312"/>
          <w:bCs/>
          <w:color w:val="000000"/>
          <w:sz w:val="32"/>
          <w:szCs w:val="32"/>
        </w:rPr>
        <w:t>:</w:t>
      </w:r>
      <w:r>
        <w:rPr>
          <w:rStyle w:val="14"/>
          <w:rFonts w:hint="eastAsia" w:ascii="仿宋_GB2312" w:hAnsi="仿宋_GB2312" w:eastAsia="仿宋_GB2312" w:cs="仿宋_GB2312"/>
          <w:b w:val="0"/>
          <w:bCs/>
          <w:color w:val="000000"/>
          <w:sz w:val="32"/>
          <w:szCs w:val="32"/>
        </w:rPr>
        <w:t xml:space="preserve"> 支出决算为</w:t>
      </w:r>
      <w:r>
        <w:rPr>
          <w:rStyle w:val="14"/>
          <w:rFonts w:hint="eastAsia" w:ascii="仿宋_GB2312" w:hAnsi="仿宋_GB2312" w:cs="仿宋_GB2312"/>
          <w:b w:val="0"/>
          <w:bCs/>
          <w:color w:val="000000"/>
          <w:sz w:val="32"/>
          <w:szCs w:val="32"/>
          <w:lang w:val="en-US" w:eastAsia="zh-CN"/>
        </w:rPr>
        <w:t>627.31</w:t>
      </w:r>
      <w:r>
        <w:rPr>
          <w:rStyle w:val="14"/>
          <w:rFonts w:hint="eastAsia" w:ascii="仿宋_GB2312" w:hAnsi="仿宋_GB2312" w:eastAsia="仿宋_GB2312" w:cs="仿宋_GB2312"/>
          <w:b w:val="0"/>
          <w:bCs/>
          <w:color w:val="000000"/>
          <w:sz w:val="32"/>
          <w:szCs w:val="32"/>
        </w:rPr>
        <w:t>万元，完成预算100%</w:t>
      </w:r>
      <w:r>
        <w:rPr>
          <w:rStyle w:val="14"/>
          <w:rFonts w:hint="eastAsia" w:ascii="仿宋_GB2312" w:hAnsi="仿宋_GB2312" w:cs="仿宋_GB2312"/>
          <w:b w:val="0"/>
          <w:bCs/>
          <w:color w:val="000000"/>
          <w:sz w:val="32"/>
          <w:szCs w:val="32"/>
          <w:lang w:eastAsia="zh-CN"/>
        </w:rPr>
        <w:t>，决算数等于预算数。</w:t>
      </w:r>
    </w:p>
    <w:p>
      <w:pPr>
        <w:spacing w:line="560" w:lineRule="exact"/>
        <w:ind w:firstLine="643" w:firstLineChars="200"/>
        <w:rPr>
          <w:rFonts w:ascii="仿宋_GB2312" w:hAnsi="仿宋_GB2312" w:eastAsia="仿宋_GB2312" w:cs="仿宋_GB2312"/>
          <w:b/>
          <w:color w:val="000000"/>
          <w:sz w:val="32"/>
          <w:szCs w:val="32"/>
        </w:rPr>
      </w:pPr>
      <w:r>
        <w:rPr>
          <w:rStyle w:val="14"/>
          <w:rFonts w:hint="eastAsia" w:ascii="仿宋_GB2312" w:hAnsi="仿宋_GB2312" w:eastAsia="仿宋_GB2312" w:cs="仿宋_GB2312"/>
          <w:bCs/>
          <w:color w:val="000000"/>
          <w:sz w:val="32"/>
          <w:szCs w:val="32"/>
        </w:rPr>
        <w:t>2.</w:t>
      </w:r>
      <w:r>
        <w:rPr>
          <w:rFonts w:hint="eastAsia" w:ascii="仿宋_GB2312" w:hAnsi="仿宋_GB2312" w:eastAsia="仿宋_GB2312" w:cs="仿宋_GB2312"/>
          <w:b/>
          <w:color w:val="000000" w:themeColor="text1"/>
          <w:sz w:val="32"/>
          <w:szCs w:val="32"/>
          <w14:textFill>
            <w14:solidFill>
              <w14:schemeClr w14:val="tx1"/>
            </w14:solidFill>
          </w14:textFill>
        </w:rPr>
        <w:t>公共安全支出（类）检察（款）一般行政管理事务（项）</w:t>
      </w:r>
      <w:r>
        <w:rPr>
          <w:rStyle w:val="14"/>
          <w:rFonts w:hint="eastAsia" w:ascii="仿宋_GB2312" w:hAnsi="仿宋_GB2312" w:eastAsia="仿宋_GB2312" w:cs="仿宋_GB2312"/>
          <w:bCs/>
          <w:color w:val="000000"/>
          <w:sz w:val="32"/>
          <w:szCs w:val="32"/>
        </w:rPr>
        <w:t>:</w:t>
      </w:r>
      <w:r>
        <w:rPr>
          <w:rStyle w:val="14"/>
          <w:rFonts w:hint="eastAsia" w:ascii="仿宋_GB2312" w:hAnsi="仿宋_GB2312" w:eastAsia="仿宋_GB2312" w:cs="仿宋_GB2312"/>
          <w:b w:val="0"/>
          <w:bCs/>
          <w:color w:val="000000"/>
          <w:sz w:val="32"/>
          <w:szCs w:val="32"/>
        </w:rPr>
        <w:t xml:space="preserve"> 支出决算为</w:t>
      </w:r>
      <w:r>
        <w:rPr>
          <w:rStyle w:val="14"/>
          <w:rFonts w:hint="eastAsia" w:ascii="仿宋_GB2312" w:hAnsi="仿宋_GB2312" w:cs="仿宋_GB2312"/>
          <w:b w:val="0"/>
          <w:bCs/>
          <w:color w:val="000000"/>
          <w:sz w:val="32"/>
          <w:szCs w:val="32"/>
          <w:lang w:val="en-US" w:eastAsia="zh-CN"/>
        </w:rPr>
        <w:t>172.62</w:t>
      </w:r>
      <w:r>
        <w:rPr>
          <w:rStyle w:val="14"/>
          <w:rFonts w:hint="eastAsia" w:ascii="仿宋_GB2312" w:hAnsi="仿宋_GB2312" w:eastAsia="仿宋_GB2312" w:cs="仿宋_GB2312"/>
          <w:b w:val="0"/>
          <w:bCs/>
          <w:color w:val="000000"/>
          <w:sz w:val="32"/>
          <w:szCs w:val="32"/>
        </w:rPr>
        <w:t>万元，完成预算100%</w:t>
      </w:r>
      <w:r>
        <w:rPr>
          <w:rStyle w:val="14"/>
          <w:rFonts w:hint="eastAsia" w:ascii="仿宋_GB2312" w:hAnsi="仿宋_GB2312" w:cs="仿宋_GB2312"/>
          <w:b w:val="0"/>
          <w:bCs/>
          <w:color w:val="000000"/>
          <w:sz w:val="32"/>
          <w:szCs w:val="32"/>
          <w:lang w:eastAsia="zh-CN"/>
        </w:rPr>
        <w:t>，决算数等于预算数。</w:t>
      </w:r>
    </w:p>
    <w:p>
      <w:pPr>
        <w:spacing w:line="560" w:lineRule="exact"/>
        <w:ind w:firstLine="643" w:firstLineChars="200"/>
        <w:rPr>
          <w:rStyle w:val="14"/>
          <w:rFonts w:hint="eastAsia" w:ascii="仿宋_GB2312" w:hAnsi="仿宋_GB2312" w:eastAsia="仿宋_GB2312" w:cs="仿宋_GB2312"/>
          <w:b w:val="0"/>
          <w:bCs/>
          <w:color w:val="000000"/>
          <w:sz w:val="32"/>
          <w:szCs w:val="32"/>
          <w:lang w:val="en-US" w:eastAsia="zh-CN"/>
        </w:rPr>
      </w:pPr>
      <w:r>
        <w:rPr>
          <w:rStyle w:val="14"/>
          <w:rFonts w:hint="eastAsia" w:ascii="仿宋_GB2312" w:hAnsi="仿宋_GB2312" w:eastAsia="仿宋_GB2312" w:cs="仿宋_GB2312"/>
          <w:bCs/>
          <w:color w:val="000000"/>
          <w:sz w:val="32"/>
          <w:szCs w:val="32"/>
        </w:rPr>
        <w:t>3.社会保障和就业支出（类）行政事业单位养老支出（款）</w:t>
      </w:r>
      <w:r>
        <w:rPr>
          <w:rStyle w:val="14"/>
          <w:rFonts w:hint="eastAsia" w:ascii="仿宋_GB2312" w:hAnsi="仿宋_GB2312" w:cs="仿宋_GB2312"/>
          <w:bCs/>
          <w:color w:val="000000"/>
          <w:sz w:val="32"/>
          <w:szCs w:val="32"/>
          <w:lang w:eastAsia="zh-CN"/>
        </w:rPr>
        <w:t>行政单位离退休</w:t>
      </w:r>
      <w:r>
        <w:rPr>
          <w:rStyle w:val="14"/>
          <w:rFonts w:hint="eastAsia" w:ascii="仿宋_GB2312" w:hAnsi="仿宋_GB2312" w:eastAsia="仿宋_GB2312" w:cs="仿宋_GB2312"/>
          <w:bCs/>
          <w:color w:val="000000"/>
          <w:sz w:val="32"/>
          <w:szCs w:val="32"/>
        </w:rPr>
        <w:t>（项）:</w:t>
      </w:r>
      <w:r>
        <w:rPr>
          <w:rStyle w:val="14"/>
          <w:rFonts w:hint="eastAsia" w:ascii="仿宋_GB2312" w:hAnsi="仿宋_GB2312" w:eastAsia="仿宋_GB2312" w:cs="仿宋_GB2312"/>
          <w:b w:val="0"/>
          <w:bCs/>
          <w:color w:val="000000"/>
          <w:sz w:val="32"/>
          <w:szCs w:val="32"/>
        </w:rPr>
        <w:t xml:space="preserve"> 支出决算为5</w:t>
      </w:r>
      <w:r>
        <w:rPr>
          <w:rStyle w:val="14"/>
          <w:rFonts w:hint="eastAsia" w:ascii="仿宋_GB2312" w:hAnsi="仿宋_GB2312" w:cs="仿宋_GB2312"/>
          <w:b w:val="0"/>
          <w:bCs/>
          <w:color w:val="000000"/>
          <w:sz w:val="32"/>
          <w:szCs w:val="32"/>
          <w:lang w:val="en-US" w:eastAsia="zh-CN"/>
        </w:rPr>
        <w:t>.62</w:t>
      </w:r>
      <w:r>
        <w:rPr>
          <w:rStyle w:val="14"/>
          <w:rFonts w:hint="eastAsia" w:ascii="仿宋_GB2312" w:hAnsi="仿宋_GB2312" w:eastAsia="仿宋_GB2312" w:cs="仿宋_GB2312"/>
          <w:b w:val="0"/>
          <w:bCs/>
          <w:color w:val="000000"/>
          <w:sz w:val="32"/>
          <w:szCs w:val="32"/>
        </w:rPr>
        <w:t>万元，完成预算100%</w:t>
      </w:r>
      <w:r>
        <w:rPr>
          <w:rStyle w:val="14"/>
          <w:rFonts w:hint="eastAsia" w:ascii="仿宋_GB2312" w:hAnsi="仿宋_GB2312" w:cs="仿宋_GB2312"/>
          <w:b w:val="0"/>
          <w:bCs/>
          <w:color w:val="000000"/>
          <w:sz w:val="32"/>
          <w:szCs w:val="32"/>
          <w:lang w:eastAsia="zh-CN"/>
        </w:rPr>
        <w:t>，决算数等于预算数。</w:t>
      </w:r>
    </w:p>
    <w:p>
      <w:pPr>
        <w:spacing w:line="560" w:lineRule="exact"/>
        <w:ind w:firstLine="643" w:firstLineChars="200"/>
        <w:rPr>
          <w:rFonts w:hint="eastAsia" w:ascii="仿宋_GB2312" w:hAnsi="仿宋_GB2312" w:eastAsia="仿宋_GB2312" w:cs="仿宋_GB2312"/>
          <w:b/>
          <w:color w:val="auto"/>
          <w:sz w:val="32"/>
          <w:szCs w:val="32"/>
          <w:highlight w:val="none"/>
          <w:lang w:eastAsia="zh-CN"/>
        </w:rPr>
      </w:pPr>
      <w:r>
        <w:rPr>
          <w:rStyle w:val="14"/>
          <w:rFonts w:hint="eastAsia" w:ascii="仿宋_GB2312" w:hAnsi="仿宋_GB2312" w:eastAsia="仿宋_GB2312" w:cs="仿宋_GB2312"/>
          <w:bCs/>
          <w:color w:val="auto"/>
          <w:sz w:val="32"/>
          <w:szCs w:val="32"/>
          <w:highlight w:val="none"/>
        </w:rPr>
        <w:t>4.</w:t>
      </w:r>
      <w:r>
        <w:rPr>
          <w:rStyle w:val="14"/>
          <w:rFonts w:hint="eastAsia" w:ascii="仿宋_GB2312" w:hAnsi="仿宋_GB2312" w:eastAsia="仿宋_GB2312" w:cs="仿宋_GB2312"/>
          <w:bCs/>
          <w:color w:val="000000"/>
          <w:sz w:val="32"/>
          <w:szCs w:val="32"/>
        </w:rPr>
        <w:t>社会保障和就业支出（类）行政事业单位养老支出（款）机关事业单位基本养老保险缴费支出（项）:</w:t>
      </w:r>
      <w:r>
        <w:rPr>
          <w:rStyle w:val="14"/>
          <w:rFonts w:hint="eastAsia" w:ascii="仿宋_GB2312" w:hAnsi="仿宋_GB2312" w:eastAsia="仿宋_GB2312" w:cs="仿宋_GB2312"/>
          <w:b w:val="0"/>
          <w:bCs/>
          <w:color w:val="000000"/>
          <w:sz w:val="32"/>
          <w:szCs w:val="32"/>
        </w:rPr>
        <w:t xml:space="preserve"> 支出决算为</w:t>
      </w:r>
      <w:r>
        <w:rPr>
          <w:rStyle w:val="14"/>
          <w:rFonts w:hint="eastAsia" w:ascii="仿宋_GB2312" w:hAnsi="仿宋_GB2312" w:cs="仿宋_GB2312"/>
          <w:b w:val="0"/>
          <w:bCs/>
          <w:color w:val="000000"/>
          <w:sz w:val="32"/>
          <w:szCs w:val="32"/>
          <w:lang w:val="en-US" w:eastAsia="zh-CN"/>
        </w:rPr>
        <w:t>65.77</w:t>
      </w:r>
      <w:r>
        <w:rPr>
          <w:rStyle w:val="14"/>
          <w:rFonts w:hint="eastAsia" w:ascii="仿宋_GB2312" w:hAnsi="仿宋_GB2312" w:eastAsia="仿宋_GB2312" w:cs="仿宋_GB2312"/>
          <w:b w:val="0"/>
          <w:bCs/>
          <w:color w:val="000000"/>
          <w:sz w:val="32"/>
          <w:szCs w:val="32"/>
        </w:rPr>
        <w:t>万元，完成预算100%</w:t>
      </w:r>
      <w:r>
        <w:rPr>
          <w:rStyle w:val="14"/>
          <w:rFonts w:hint="eastAsia" w:ascii="仿宋_GB2312" w:hAnsi="仿宋_GB2312" w:cs="仿宋_GB2312"/>
          <w:b w:val="0"/>
          <w:bCs/>
          <w:color w:val="000000"/>
          <w:sz w:val="32"/>
          <w:szCs w:val="32"/>
          <w:lang w:eastAsia="zh-CN"/>
        </w:rPr>
        <w:t>，决算数等于预算数。</w:t>
      </w:r>
    </w:p>
    <w:p>
      <w:pPr>
        <w:spacing w:line="560" w:lineRule="exact"/>
        <w:ind w:firstLine="643" w:firstLineChars="200"/>
        <w:rPr>
          <w:rStyle w:val="14"/>
          <w:rFonts w:hint="eastAsia" w:ascii="仿宋_GB2312" w:hAnsi="仿宋_GB2312" w:eastAsia="仿宋_GB2312" w:cs="仿宋_GB2312"/>
          <w:b w:val="0"/>
          <w:bCs/>
          <w:color w:val="000000"/>
          <w:sz w:val="32"/>
          <w:szCs w:val="32"/>
          <w:lang w:eastAsia="zh-CN"/>
        </w:rPr>
      </w:pPr>
      <w:r>
        <w:rPr>
          <w:rStyle w:val="14"/>
          <w:rFonts w:hint="eastAsia" w:ascii="仿宋_GB2312" w:hAnsi="仿宋_GB2312" w:eastAsia="仿宋_GB2312" w:cs="仿宋_GB2312"/>
          <w:bCs/>
          <w:color w:val="auto"/>
          <w:sz w:val="32"/>
          <w:szCs w:val="32"/>
          <w:highlight w:val="none"/>
        </w:rPr>
        <w:t>5.</w:t>
      </w:r>
      <w:r>
        <w:rPr>
          <w:rStyle w:val="14"/>
          <w:rFonts w:hint="eastAsia" w:ascii="仿宋_GB2312" w:hAnsi="仿宋_GB2312" w:eastAsia="仿宋_GB2312" w:cs="仿宋_GB2312"/>
          <w:bCs/>
          <w:color w:val="000000"/>
          <w:sz w:val="32"/>
          <w:szCs w:val="32"/>
        </w:rPr>
        <w:t>社会保障和就业支出（类）行政事业单位养老支出（款）机关事业单位</w:t>
      </w:r>
      <w:r>
        <w:rPr>
          <w:rStyle w:val="14"/>
          <w:rFonts w:hint="eastAsia" w:ascii="仿宋_GB2312" w:hAnsi="仿宋_GB2312" w:cs="仿宋_GB2312"/>
          <w:bCs/>
          <w:color w:val="000000"/>
          <w:sz w:val="32"/>
          <w:szCs w:val="32"/>
          <w:lang w:eastAsia="zh-CN"/>
        </w:rPr>
        <w:t>职业年金</w:t>
      </w:r>
      <w:r>
        <w:rPr>
          <w:rStyle w:val="14"/>
          <w:rFonts w:hint="eastAsia" w:ascii="仿宋_GB2312" w:hAnsi="仿宋_GB2312" w:eastAsia="仿宋_GB2312" w:cs="仿宋_GB2312"/>
          <w:bCs/>
          <w:color w:val="000000"/>
          <w:sz w:val="32"/>
          <w:szCs w:val="32"/>
        </w:rPr>
        <w:t>缴费支出（项）:</w:t>
      </w:r>
      <w:r>
        <w:rPr>
          <w:rStyle w:val="14"/>
          <w:rFonts w:hint="eastAsia" w:ascii="仿宋_GB2312" w:hAnsi="仿宋_GB2312" w:eastAsia="仿宋_GB2312" w:cs="仿宋_GB2312"/>
          <w:b w:val="0"/>
          <w:bCs/>
          <w:color w:val="000000"/>
          <w:sz w:val="32"/>
          <w:szCs w:val="32"/>
        </w:rPr>
        <w:t xml:space="preserve"> 支出决算为</w:t>
      </w:r>
      <w:r>
        <w:rPr>
          <w:rStyle w:val="14"/>
          <w:rFonts w:hint="eastAsia" w:ascii="仿宋_GB2312" w:hAnsi="仿宋_GB2312" w:cs="仿宋_GB2312"/>
          <w:b w:val="0"/>
          <w:bCs/>
          <w:color w:val="000000"/>
          <w:sz w:val="32"/>
          <w:szCs w:val="32"/>
          <w:lang w:val="en-US" w:eastAsia="zh-CN"/>
        </w:rPr>
        <w:t>19.56</w:t>
      </w:r>
      <w:r>
        <w:rPr>
          <w:rStyle w:val="14"/>
          <w:rFonts w:hint="eastAsia" w:ascii="仿宋_GB2312" w:hAnsi="仿宋_GB2312" w:eastAsia="仿宋_GB2312" w:cs="仿宋_GB2312"/>
          <w:b w:val="0"/>
          <w:bCs/>
          <w:color w:val="000000"/>
          <w:sz w:val="32"/>
          <w:szCs w:val="32"/>
        </w:rPr>
        <w:t>万元，完成预算100%</w:t>
      </w:r>
      <w:r>
        <w:rPr>
          <w:rStyle w:val="14"/>
          <w:rFonts w:hint="eastAsia" w:ascii="仿宋_GB2312" w:hAnsi="仿宋_GB2312" w:cs="仿宋_GB2312"/>
          <w:b w:val="0"/>
          <w:bCs/>
          <w:color w:val="000000"/>
          <w:sz w:val="32"/>
          <w:szCs w:val="32"/>
          <w:lang w:eastAsia="zh-CN"/>
        </w:rPr>
        <w:t>，决算数等于预算数。</w:t>
      </w:r>
    </w:p>
    <w:p>
      <w:pPr>
        <w:spacing w:line="560" w:lineRule="exact"/>
        <w:ind w:firstLine="643" w:firstLineChars="200"/>
        <w:rPr>
          <w:rFonts w:hint="eastAsia" w:ascii="仿宋_GB2312" w:hAnsi="仿宋_GB2312" w:eastAsia="仿宋_GB2312" w:cs="仿宋_GB2312"/>
          <w:b/>
          <w:color w:val="000000"/>
          <w:sz w:val="32"/>
          <w:szCs w:val="32"/>
          <w:lang w:eastAsia="zh-CN"/>
        </w:rPr>
      </w:pPr>
      <w:r>
        <w:rPr>
          <w:rStyle w:val="14"/>
          <w:rFonts w:hint="eastAsia" w:ascii="仿宋_GB2312" w:hAnsi="仿宋_GB2312" w:eastAsia="仿宋_GB2312" w:cs="仿宋_GB2312"/>
          <w:bCs/>
          <w:color w:val="auto"/>
          <w:sz w:val="32"/>
          <w:szCs w:val="32"/>
          <w:highlight w:val="none"/>
        </w:rPr>
        <w:t>6.</w:t>
      </w:r>
      <w:r>
        <w:rPr>
          <w:rStyle w:val="14"/>
          <w:rFonts w:hint="eastAsia" w:ascii="仿宋_GB2312" w:hAnsi="仿宋_GB2312" w:eastAsia="仿宋_GB2312" w:cs="仿宋_GB2312"/>
          <w:bCs/>
          <w:color w:val="000000"/>
          <w:sz w:val="32"/>
          <w:szCs w:val="32"/>
        </w:rPr>
        <w:t>卫生健康支出（类）行政事业单位医疗（款）行政单位医疗（项）:</w:t>
      </w:r>
      <w:r>
        <w:rPr>
          <w:rStyle w:val="14"/>
          <w:rFonts w:hint="eastAsia" w:ascii="仿宋_GB2312" w:hAnsi="仿宋_GB2312" w:eastAsia="仿宋_GB2312" w:cs="仿宋_GB2312"/>
          <w:b w:val="0"/>
          <w:bCs/>
          <w:color w:val="000000"/>
          <w:sz w:val="32"/>
          <w:szCs w:val="32"/>
        </w:rPr>
        <w:t xml:space="preserve"> 支出决算为3</w:t>
      </w:r>
      <w:r>
        <w:rPr>
          <w:rStyle w:val="14"/>
          <w:rFonts w:hint="eastAsia" w:ascii="仿宋_GB2312" w:hAnsi="仿宋_GB2312" w:cs="仿宋_GB2312"/>
          <w:b w:val="0"/>
          <w:bCs/>
          <w:color w:val="000000"/>
          <w:sz w:val="32"/>
          <w:szCs w:val="32"/>
          <w:lang w:val="en-US" w:eastAsia="zh-CN"/>
        </w:rPr>
        <w:t>3.06</w:t>
      </w:r>
      <w:r>
        <w:rPr>
          <w:rStyle w:val="14"/>
          <w:rFonts w:hint="eastAsia" w:ascii="仿宋_GB2312" w:hAnsi="仿宋_GB2312" w:eastAsia="仿宋_GB2312" w:cs="仿宋_GB2312"/>
          <w:b w:val="0"/>
          <w:bCs/>
          <w:color w:val="000000"/>
          <w:sz w:val="32"/>
          <w:szCs w:val="32"/>
        </w:rPr>
        <w:t>万元，完成预算100%</w:t>
      </w:r>
      <w:r>
        <w:rPr>
          <w:rStyle w:val="14"/>
          <w:rFonts w:hint="eastAsia" w:ascii="仿宋_GB2312" w:hAnsi="仿宋_GB2312" w:cs="仿宋_GB2312"/>
          <w:b w:val="0"/>
          <w:bCs/>
          <w:color w:val="000000"/>
          <w:sz w:val="32"/>
          <w:szCs w:val="32"/>
          <w:lang w:eastAsia="zh-CN"/>
        </w:rPr>
        <w:t>，决算数等于预算数。</w:t>
      </w:r>
    </w:p>
    <w:p>
      <w:pPr>
        <w:spacing w:line="560" w:lineRule="exact"/>
        <w:ind w:firstLine="643" w:firstLineChars="200"/>
        <w:rPr>
          <w:rFonts w:hint="eastAsia" w:ascii="仿宋_GB2312" w:hAnsi="仿宋_GB2312" w:eastAsia="仿宋_GB2312" w:cs="仿宋_GB2312"/>
          <w:b/>
          <w:color w:val="000000"/>
          <w:sz w:val="32"/>
          <w:szCs w:val="32"/>
          <w:lang w:eastAsia="zh-CN"/>
        </w:rPr>
      </w:pPr>
      <w:r>
        <w:rPr>
          <w:rStyle w:val="14"/>
          <w:rFonts w:hint="eastAsia" w:ascii="仿宋_GB2312" w:hAnsi="仿宋_GB2312" w:cs="仿宋_GB2312"/>
          <w:bCs/>
          <w:color w:val="000000"/>
          <w:sz w:val="32"/>
          <w:szCs w:val="32"/>
          <w:lang w:val="en-US" w:eastAsia="zh-CN"/>
        </w:rPr>
        <w:t>7</w:t>
      </w:r>
      <w:r>
        <w:rPr>
          <w:rStyle w:val="14"/>
          <w:rFonts w:hint="eastAsia" w:ascii="仿宋_GB2312" w:hAnsi="仿宋_GB2312" w:eastAsia="仿宋_GB2312" w:cs="仿宋_GB2312"/>
          <w:bCs/>
          <w:color w:val="000000"/>
          <w:sz w:val="32"/>
          <w:szCs w:val="32"/>
        </w:rPr>
        <w:t>.卫生健康支出（类）行政事业单位医疗（款）公务员医疗补助（项）:</w:t>
      </w:r>
      <w:r>
        <w:rPr>
          <w:rStyle w:val="14"/>
          <w:rFonts w:hint="eastAsia" w:ascii="仿宋_GB2312" w:hAnsi="仿宋_GB2312" w:eastAsia="仿宋_GB2312" w:cs="仿宋_GB2312"/>
          <w:b w:val="0"/>
          <w:bCs/>
          <w:color w:val="000000"/>
          <w:sz w:val="32"/>
          <w:szCs w:val="32"/>
        </w:rPr>
        <w:t xml:space="preserve"> 支出决算为</w:t>
      </w:r>
      <w:r>
        <w:rPr>
          <w:rStyle w:val="14"/>
          <w:rFonts w:hint="eastAsia" w:ascii="仿宋_GB2312" w:hAnsi="仿宋_GB2312" w:cs="仿宋_GB2312"/>
          <w:b w:val="0"/>
          <w:bCs/>
          <w:color w:val="000000"/>
          <w:sz w:val="32"/>
          <w:szCs w:val="32"/>
          <w:lang w:val="en-US" w:eastAsia="zh-CN"/>
        </w:rPr>
        <w:t>8.25</w:t>
      </w:r>
      <w:r>
        <w:rPr>
          <w:rStyle w:val="14"/>
          <w:rFonts w:hint="eastAsia" w:ascii="仿宋_GB2312" w:hAnsi="仿宋_GB2312" w:eastAsia="仿宋_GB2312" w:cs="仿宋_GB2312"/>
          <w:b w:val="0"/>
          <w:bCs/>
          <w:color w:val="000000"/>
          <w:sz w:val="32"/>
          <w:szCs w:val="32"/>
        </w:rPr>
        <w:t>万元，完成预算100%</w:t>
      </w:r>
      <w:r>
        <w:rPr>
          <w:rStyle w:val="14"/>
          <w:rFonts w:hint="eastAsia" w:ascii="仿宋_GB2312" w:hAnsi="仿宋_GB2312" w:cs="仿宋_GB2312"/>
          <w:b w:val="0"/>
          <w:bCs/>
          <w:color w:val="000000"/>
          <w:sz w:val="32"/>
          <w:szCs w:val="32"/>
          <w:lang w:eastAsia="zh-CN"/>
        </w:rPr>
        <w:t>，决算数等于预算数。</w:t>
      </w:r>
    </w:p>
    <w:p>
      <w:pPr>
        <w:spacing w:line="560" w:lineRule="exact"/>
        <w:ind w:firstLine="643" w:firstLineChars="200"/>
        <w:rPr>
          <w:rFonts w:hint="eastAsia" w:ascii="仿宋_GB2312" w:hAnsi="仿宋_GB2312" w:eastAsia="仿宋_GB2312" w:cs="仿宋_GB2312"/>
          <w:b/>
          <w:color w:val="auto"/>
          <w:sz w:val="32"/>
          <w:szCs w:val="32"/>
          <w:highlight w:val="none"/>
          <w:lang w:eastAsia="zh-CN"/>
        </w:rPr>
      </w:pPr>
      <w:r>
        <w:rPr>
          <w:rStyle w:val="14"/>
          <w:rFonts w:hint="eastAsia" w:ascii="仿宋_GB2312" w:hAnsi="仿宋_GB2312" w:eastAsia="仿宋_GB2312" w:cs="仿宋_GB2312"/>
          <w:bCs/>
          <w:color w:val="000000"/>
          <w:sz w:val="32"/>
          <w:szCs w:val="32"/>
        </w:rPr>
        <w:t>8.住房保障支出（类）住房改革支出（款）住房公积金（项）:</w:t>
      </w:r>
      <w:r>
        <w:rPr>
          <w:rStyle w:val="14"/>
          <w:rFonts w:hint="eastAsia" w:ascii="仿宋_GB2312" w:hAnsi="仿宋_GB2312" w:eastAsia="仿宋_GB2312" w:cs="仿宋_GB2312"/>
          <w:b w:val="0"/>
          <w:bCs/>
          <w:color w:val="000000"/>
          <w:sz w:val="32"/>
          <w:szCs w:val="32"/>
        </w:rPr>
        <w:t>支出决算为</w:t>
      </w:r>
      <w:r>
        <w:rPr>
          <w:rStyle w:val="14"/>
          <w:rFonts w:hint="eastAsia" w:ascii="仿宋_GB2312" w:hAnsi="仿宋_GB2312" w:cs="仿宋_GB2312"/>
          <w:b w:val="0"/>
          <w:bCs/>
          <w:color w:val="000000"/>
          <w:sz w:val="32"/>
          <w:szCs w:val="32"/>
          <w:lang w:val="en-US" w:eastAsia="zh-CN"/>
        </w:rPr>
        <w:t>76.17</w:t>
      </w:r>
      <w:r>
        <w:rPr>
          <w:rStyle w:val="14"/>
          <w:rFonts w:hint="eastAsia" w:ascii="仿宋_GB2312" w:hAnsi="仿宋_GB2312" w:eastAsia="仿宋_GB2312" w:cs="仿宋_GB2312"/>
          <w:b w:val="0"/>
          <w:bCs/>
          <w:color w:val="000000"/>
          <w:sz w:val="32"/>
          <w:szCs w:val="32"/>
        </w:rPr>
        <w:t>万元，完成预算100%</w:t>
      </w:r>
      <w:r>
        <w:rPr>
          <w:rStyle w:val="14"/>
          <w:rFonts w:hint="eastAsia" w:ascii="仿宋_GB2312" w:hAnsi="仿宋_GB2312" w:cs="仿宋_GB2312"/>
          <w:b w:val="0"/>
          <w:bCs/>
          <w:color w:val="000000"/>
          <w:sz w:val="32"/>
          <w:szCs w:val="32"/>
          <w:lang w:eastAsia="zh-CN"/>
        </w:rPr>
        <w:t>，决算数等于预算数。</w:t>
      </w:r>
    </w:p>
    <w:p>
      <w:pPr>
        <w:tabs>
          <w:tab w:val="right" w:pos="8306"/>
        </w:tabs>
        <w:spacing w:line="600" w:lineRule="exact"/>
        <w:ind w:firstLine="640"/>
        <w:outlineLvl w:val="1"/>
        <w:rPr>
          <w:rStyle w:val="17"/>
        </w:rPr>
      </w:pPr>
      <w:bookmarkStart w:id="31" w:name="_Toc49189142"/>
      <w:bookmarkStart w:id="32" w:name="_Toc15377214"/>
      <w:bookmarkStart w:id="33"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17"/>
          <w:rFonts w:hint="eastAsia" w:ascii="黑体" w:hAnsi="黑体" w:eastAsia="黑体"/>
          <w:b w:val="0"/>
        </w:rPr>
        <w:t>般公共预算财政拨款基本支出决算情况说明</w:t>
      </w:r>
      <w:bookmarkEnd w:id="31"/>
      <w:bookmarkEnd w:id="32"/>
      <w:bookmarkEnd w:id="33"/>
      <w:r>
        <w:rPr>
          <w:rStyle w:val="17"/>
          <w:rFonts w:ascii="黑体" w:hAnsi="黑体" w:eastAsia="黑体"/>
          <w:b w:val="0"/>
        </w:rPr>
        <w:tab/>
      </w:r>
    </w:p>
    <w:p>
      <w:pPr>
        <w:spacing w:line="600" w:lineRule="exact"/>
        <w:ind w:firstLine="645"/>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年一般公共预算财政拨款基本支出</w:t>
      </w:r>
      <w:r>
        <w:rPr>
          <w:rFonts w:hint="eastAsia" w:ascii="仿宋_GB2312" w:hAnsi="仿宋_GB2312" w:cs="仿宋_GB2312"/>
          <w:color w:val="auto"/>
          <w:sz w:val="32"/>
          <w:szCs w:val="32"/>
          <w:highlight w:val="none"/>
          <w:lang w:val="en-US" w:eastAsia="zh-CN"/>
        </w:rPr>
        <w:t>835.74</w:t>
      </w:r>
      <w:r>
        <w:rPr>
          <w:rFonts w:hint="eastAsia" w:ascii="仿宋_GB2312" w:hAnsi="仿宋_GB2312" w:eastAsia="仿宋_GB2312" w:cs="仿宋_GB2312"/>
          <w:color w:val="auto"/>
          <w:sz w:val="32"/>
          <w:szCs w:val="32"/>
          <w:highlight w:val="none"/>
        </w:rPr>
        <w:t>万元，其中：</w:t>
      </w:r>
    </w:p>
    <w:p>
      <w:pPr>
        <w:spacing w:line="600" w:lineRule="exact"/>
        <w:ind w:firstLine="645"/>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auto"/>
          <w:sz w:val="32"/>
          <w:szCs w:val="32"/>
          <w:highlight w:val="none"/>
        </w:rPr>
        <w:t>人员经费</w:t>
      </w:r>
      <w:r>
        <w:rPr>
          <w:rFonts w:hint="eastAsia" w:ascii="仿宋_GB2312" w:hAnsi="仿宋_GB2312" w:cs="仿宋_GB2312"/>
          <w:color w:val="auto"/>
          <w:sz w:val="32"/>
          <w:szCs w:val="32"/>
          <w:highlight w:val="none"/>
          <w:lang w:val="en-US" w:eastAsia="zh-CN"/>
        </w:rPr>
        <w:t>692.62</w:t>
      </w:r>
      <w:r>
        <w:rPr>
          <w:rFonts w:hint="eastAsia" w:ascii="仿宋_GB2312" w:hAnsi="仿宋_GB2312" w:eastAsia="仿宋_GB2312" w:cs="仿宋_GB2312"/>
          <w:color w:val="auto"/>
          <w:sz w:val="32"/>
          <w:szCs w:val="32"/>
          <w:highlight w:val="none"/>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仿宋_GB2312" w:hAnsi="仿宋_GB2312" w:eastAsia="仿宋_GB2312" w:cs="仿宋_GB2312"/>
          <w:color w:val="auto"/>
          <w:sz w:val="32"/>
          <w:szCs w:val="32"/>
          <w:highlight w:val="none"/>
        </w:rPr>
        <w:br w:type="textWrapping"/>
      </w:r>
      <w:r>
        <w:rPr>
          <w:rFonts w:hint="eastAsia" w:ascii="仿宋_GB2312" w:hAnsi="仿宋_GB2312" w:eastAsia="仿宋_GB2312" w:cs="仿宋_GB2312"/>
          <w:color w:val="auto"/>
          <w:sz w:val="32"/>
          <w:szCs w:val="32"/>
          <w:highlight w:val="none"/>
        </w:rPr>
        <w:t>　　公用经费</w:t>
      </w:r>
      <w:r>
        <w:rPr>
          <w:rFonts w:hint="eastAsia" w:ascii="仿宋_GB2312" w:hAnsi="仿宋_GB2312" w:cs="仿宋_GB2312"/>
          <w:color w:val="auto"/>
          <w:sz w:val="32"/>
          <w:szCs w:val="32"/>
          <w:highlight w:val="none"/>
          <w:lang w:val="en-US" w:eastAsia="zh-CN"/>
        </w:rPr>
        <w:t>143.12</w:t>
      </w:r>
      <w:r>
        <w:rPr>
          <w:rFonts w:hint="eastAsia" w:ascii="仿宋_GB2312" w:hAnsi="仿宋_GB2312" w:eastAsia="仿宋_GB2312" w:cs="仿宋_GB2312"/>
          <w:color w:val="auto"/>
          <w:sz w:val="32"/>
          <w:szCs w:val="32"/>
          <w:highlight w:val="none"/>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spacing w:line="600" w:lineRule="exact"/>
        <w:ind w:firstLine="640"/>
        <w:outlineLvl w:val="1"/>
        <w:rPr>
          <w:rStyle w:val="17"/>
          <w:rFonts w:ascii="黑体" w:hAnsi="黑体" w:eastAsia="黑体"/>
          <w:b w:val="0"/>
        </w:rPr>
      </w:pPr>
      <w:bookmarkStart w:id="34" w:name="_Toc15377215"/>
      <w:bookmarkStart w:id="35" w:name="_Toc1498715473"/>
      <w:bookmarkStart w:id="36" w:name="_Toc15396609"/>
      <w:r>
        <w:rPr>
          <w:rFonts w:hint="eastAsia" w:ascii="黑体" w:eastAsia="黑体"/>
          <w:color w:val="000000"/>
          <w:sz w:val="32"/>
          <w:szCs w:val="32"/>
        </w:rPr>
        <w:t>七、</w:t>
      </w:r>
      <w:r>
        <w:rPr>
          <w:rStyle w:val="17"/>
          <w:rFonts w:hint="eastAsia" w:ascii="黑体" w:hAnsi="黑体" w:eastAsia="黑体"/>
        </w:rPr>
        <w:t>“</w:t>
      </w:r>
      <w:r>
        <w:rPr>
          <w:rStyle w:val="17"/>
          <w:rFonts w:hint="eastAsia" w:ascii="黑体" w:hAnsi="黑体" w:eastAsia="黑体"/>
          <w:b w:val="0"/>
        </w:rPr>
        <w:t>三公”经费财政拨款支出决算情况说明</w:t>
      </w:r>
      <w:bookmarkEnd w:id="34"/>
      <w:bookmarkEnd w:id="35"/>
      <w:bookmarkEnd w:id="36"/>
    </w:p>
    <w:p>
      <w:pPr>
        <w:spacing w:line="600" w:lineRule="exact"/>
        <w:ind w:firstLine="640"/>
        <w:outlineLvl w:val="2"/>
        <w:rPr>
          <w:rFonts w:hint="eastAsia" w:ascii="仿宋_GB2312" w:hAnsi="仿宋_GB2312" w:eastAsia="仿宋_GB2312" w:cs="仿宋_GB2312"/>
          <w:b/>
          <w:color w:val="000000"/>
          <w:sz w:val="32"/>
          <w:szCs w:val="32"/>
        </w:rPr>
      </w:pPr>
      <w:bookmarkStart w:id="37" w:name="_Toc15377216"/>
      <w:r>
        <w:rPr>
          <w:rFonts w:hint="eastAsia" w:ascii="仿宋_GB2312" w:hAnsi="仿宋_GB2312" w:eastAsia="仿宋_GB2312" w:cs="仿宋_GB2312"/>
          <w:b/>
          <w:color w:val="000000"/>
          <w:sz w:val="32"/>
          <w:szCs w:val="32"/>
        </w:rPr>
        <w:t>（一）“三公”经费财政拨款支出决算总体情况说明</w:t>
      </w:r>
      <w:bookmarkEnd w:id="37"/>
    </w:p>
    <w:p>
      <w:pPr>
        <w:spacing w:line="600" w:lineRule="exact"/>
        <w:ind w:firstLine="640"/>
        <w:rPr>
          <w:rFonts w:hint="eastAsia" w:ascii="仿宋_GB2312" w:hAnsi="仿宋_GB2312" w:eastAsia="仿宋_GB2312" w:cs="仿宋_GB2312"/>
          <w:b/>
          <w:color w:val="FF0000"/>
          <w:sz w:val="32"/>
          <w:szCs w:val="32"/>
          <w:lang w:eastAsia="zh-CN"/>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年“三公”经费财政拨款支出决算为</w:t>
      </w:r>
      <w:r>
        <w:rPr>
          <w:rFonts w:hint="eastAsia" w:ascii="仿宋_GB2312" w:hAnsi="仿宋_GB2312" w:cs="仿宋_GB2312"/>
          <w:color w:val="auto"/>
          <w:sz w:val="32"/>
          <w:szCs w:val="32"/>
          <w:highlight w:val="none"/>
          <w:lang w:val="en-US" w:eastAsia="zh-CN"/>
        </w:rPr>
        <w:t>17.38</w:t>
      </w:r>
      <w:r>
        <w:rPr>
          <w:rFonts w:hint="eastAsia" w:ascii="仿宋_GB2312" w:hAnsi="仿宋_GB2312" w:eastAsia="仿宋_GB2312" w:cs="仿宋_GB2312"/>
          <w:color w:val="auto"/>
          <w:sz w:val="32"/>
          <w:szCs w:val="32"/>
          <w:highlight w:val="none"/>
        </w:rPr>
        <w:t>万元，完成预算</w:t>
      </w:r>
      <w:r>
        <w:rPr>
          <w:rFonts w:hint="eastAsia" w:ascii="仿宋_GB2312" w:hAnsi="仿宋_GB2312" w:cs="仿宋_GB2312"/>
          <w:color w:val="auto"/>
          <w:sz w:val="32"/>
          <w:szCs w:val="32"/>
          <w:highlight w:val="none"/>
          <w:lang w:val="en-US" w:eastAsia="zh-CN"/>
        </w:rPr>
        <w:t>100</w:t>
      </w:r>
      <w:r>
        <w:rPr>
          <w:rFonts w:hint="eastAsia" w:ascii="仿宋_GB2312" w:hAnsi="仿宋_GB2312" w:eastAsia="仿宋_GB2312" w:cs="仿宋_GB2312"/>
          <w:color w:val="auto"/>
          <w:sz w:val="32"/>
          <w:szCs w:val="32"/>
          <w:highlight w:val="none"/>
        </w:rPr>
        <w:t>%，</w:t>
      </w:r>
      <w:r>
        <w:rPr>
          <w:rFonts w:hint="eastAsia" w:ascii="仿宋_GB2312" w:hAnsi="仿宋_GB2312" w:cs="仿宋_GB2312"/>
          <w:color w:val="auto"/>
          <w:sz w:val="32"/>
          <w:szCs w:val="32"/>
          <w:highlight w:val="none"/>
          <w:lang w:eastAsia="zh-CN"/>
        </w:rPr>
        <w:t>决算数与预算数持平。</w:t>
      </w:r>
      <w:r>
        <w:rPr>
          <w:rFonts w:hint="eastAsia" w:ascii="仿宋_GB2312" w:hAnsi="仿宋_GB2312" w:eastAsia="仿宋_GB2312" w:cs="仿宋_GB2312"/>
          <w:color w:val="auto"/>
          <w:sz w:val="32"/>
          <w:szCs w:val="32"/>
          <w:highlight w:val="none"/>
          <w:lang w:eastAsia="zh-CN"/>
        </w:rPr>
        <w:t>较上年</w:t>
      </w:r>
      <w:r>
        <w:rPr>
          <w:rFonts w:hint="eastAsia" w:ascii="仿宋_GB2312" w:hAnsi="仿宋_GB2312" w:eastAsia="仿宋_GB2312" w:cs="仿宋_GB2312"/>
          <w:color w:val="auto"/>
          <w:sz w:val="32"/>
          <w:szCs w:val="32"/>
          <w:highlight w:val="none"/>
          <w:lang w:val="en-US" w:eastAsia="zh-CN"/>
        </w:rPr>
        <w:t>减少</w:t>
      </w:r>
      <w:r>
        <w:rPr>
          <w:rFonts w:hint="eastAsia" w:ascii="仿宋_GB2312" w:hAnsi="仿宋_GB2312" w:cs="仿宋_GB2312"/>
          <w:color w:val="auto"/>
          <w:sz w:val="32"/>
          <w:szCs w:val="32"/>
          <w:highlight w:val="none"/>
          <w:lang w:val="en-US" w:eastAsia="zh-CN"/>
        </w:rPr>
        <w:t>28.92</w:t>
      </w:r>
      <w:r>
        <w:rPr>
          <w:rFonts w:hint="eastAsia" w:ascii="仿宋_GB2312" w:hAnsi="仿宋_GB2312" w:eastAsia="仿宋_GB2312" w:cs="仿宋_GB2312"/>
          <w:color w:val="auto"/>
          <w:sz w:val="32"/>
          <w:szCs w:val="32"/>
          <w:highlight w:val="none"/>
          <w:lang w:val="en-US" w:eastAsia="zh-CN"/>
        </w:rPr>
        <w:t>万元，下降</w:t>
      </w:r>
      <w:r>
        <w:rPr>
          <w:rFonts w:hint="eastAsia" w:ascii="仿宋_GB2312" w:hAnsi="仿宋_GB2312" w:cs="仿宋_GB2312"/>
          <w:color w:val="auto"/>
          <w:sz w:val="32"/>
          <w:szCs w:val="32"/>
          <w:highlight w:val="none"/>
          <w:lang w:val="en-US" w:eastAsia="zh-CN"/>
        </w:rPr>
        <w:t>62.46</w:t>
      </w:r>
      <w:r>
        <w:rPr>
          <w:rFonts w:hint="eastAsia" w:ascii="仿宋_GB2312" w:hAnsi="仿宋_GB2312" w:eastAsia="仿宋_GB2312" w:cs="仿宋_GB2312"/>
          <w:color w:val="auto"/>
          <w:sz w:val="32"/>
          <w:szCs w:val="32"/>
          <w:highlight w:val="none"/>
          <w:lang w:val="en-US" w:eastAsia="zh-CN"/>
        </w:rPr>
        <w:t>%</w:t>
      </w:r>
      <w:r>
        <w:rPr>
          <w:rFonts w:hint="eastAsia" w:ascii="仿宋_GB2312" w:hAnsi="仿宋_GB2312" w:cs="仿宋_GB2312"/>
          <w:color w:val="auto"/>
          <w:sz w:val="32"/>
          <w:szCs w:val="32"/>
          <w:highlight w:val="none"/>
          <w:lang w:val="en-US" w:eastAsia="zh-CN"/>
        </w:rPr>
        <w:t>，主要原因为去年采购了</w:t>
      </w:r>
      <w:r>
        <w:rPr>
          <w:rFonts w:hint="eastAsia" w:ascii="仿宋_GB2312" w:hAnsi="仿宋_GB2312" w:eastAsia="仿宋_GB2312" w:cs="仿宋_GB2312"/>
          <w:color w:val="000000"/>
          <w:sz w:val="32"/>
          <w:szCs w:val="32"/>
        </w:rPr>
        <w:t>特种技术专业用车</w:t>
      </w:r>
      <w:r>
        <w:rPr>
          <w:rFonts w:hint="eastAsia" w:ascii="仿宋_GB2312" w:hAnsi="仿宋_GB2312" w:cs="仿宋_GB2312"/>
          <w:color w:val="000000"/>
          <w:sz w:val="32"/>
          <w:szCs w:val="32"/>
          <w:lang w:eastAsia="zh-CN"/>
        </w:rPr>
        <w:t>，今年无公务用车购置计划。</w:t>
      </w:r>
    </w:p>
    <w:p>
      <w:pPr>
        <w:spacing w:line="600" w:lineRule="exact"/>
        <w:ind w:firstLine="640"/>
        <w:outlineLvl w:val="2"/>
        <w:rPr>
          <w:rFonts w:hint="eastAsia" w:ascii="仿宋_GB2312" w:hAnsi="仿宋_GB2312" w:eastAsia="仿宋_GB2312" w:cs="仿宋_GB2312"/>
          <w:b/>
          <w:color w:val="000000"/>
          <w:sz w:val="32"/>
          <w:szCs w:val="32"/>
        </w:rPr>
      </w:pPr>
      <w:bookmarkStart w:id="38" w:name="_Toc15377217"/>
      <w:r>
        <w:rPr>
          <w:rFonts w:hint="eastAsia" w:ascii="仿宋_GB2312" w:hAnsi="仿宋_GB2312" w:eastAsia="仿宋_GB2312" w:cs="仿宋_GB2312"/>
          <w:b/>
          <w:color w:val="000000"/>
          <w:sz w:val="32"/>
          <w:szCs w:val="32"/>
        </w:rPr>
        <w:t>（二）“三公”经费财政拨款支出决算具体情况说明</w:t>
      </w:r>
      <w:bookmarkEnd w:id="38"/>
    </w:p>
    <w:p>
      <w:pPr>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年“三公”经费财政拨款支出决算中，因公出国（境）费支出决算</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%；公务用车购置及运行维护费支出决算</w:t>
      </w:r>
      <w:r>
        <w:rPr>
          <w:rFonts w:hint="eastAsia" w:ascii="仿宋_GB2312" w:hAnsi="仿宋_GB2312" w:cs="仿宋_GB2312"/>
          <w:color w:val="auto"/>
          <w:sz w:val="32"/>
          <w:szCs w:val="32"/>
          <w:highlight w:val="none"/>
          <w:lang w:val="en-US" w:eastAsia="zh-CN"/>
        </w:rPr>
        <w:t>17.38</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100</w:t>
      </w:r>
      <w:r>
        <w:rPr>
          <w:rFonts w:hint="eastAsia" w:ascii="仿宋_GB2312" w:hAnsi="仿宋_GB2312" w:eastAsia="仿宋_GB2312" w:cs="仿宋_GB2312"/>
          <w:color w:val="auto"/>
          <w:sz w:val="32"/>
          <w:szCs w:val="32"/>
          <w:highlight w:val="none"/>
        </w:rPr>
        <w:t>%；公务接待费支出决算</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万元，占</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%。具体情况如下：</w:t>
      </w:r>
    </w:p>
    <w:p>
      <w:pPr>
        <w:pStyle w:val="2"/>
        <w:jc w:val="center"/>
        <w:rPr>
          <w:rFonts w:hint="eastAsia" w:ascii="仿宋_GB2312" w:hAnsi="仿宋_GB2312" w:eastAsia="仿宋_GB2312" w:cs="仿宋_GB2312"/>
          <w:color w:val="auto"/>
          <w:sz w:val="32"/>
          <w:szCs w:val="32"/>
          <w:highlight w:val="none"/>
        </w:rPr>
      </w:pPr>
      <w:r>
        <w:rPr>
          <w:rFonts w:hint="eastAsia" w:eastAsia="仿宋_GB2312"/>
          <w:lang w:eastAsia="zh-CN"/>
        </w:rPr>
        <w:drawing>
          <wp:anchor distT="0" distB="0" distL="114300" distR="114300" simplePos="0" relativeHeight="251679744" behindDoc="0" locked="0" layoutInCell="1" allowOverlap="1">
            <wp:simplePos x="0" y="0"/>
            <wp:positionH relativeFrom="column">
              <wp:posOffset>368935</wp:posOffset>
            </wp:positionH>
            <wp:positionV relativeFrom="paragraph">
              <wp:posOffset>81915</wp:posOffset>
            </wp:positionV>
            <wp:extent cx="4596765" cy="2239645"/>
            <wp:effectExtent l="4445" t="4445" r="8890" b="22860"/>
            <wp:wrapTopAndBottom/>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ascii="仿宋_GB2312" w:hAnsi="仿宋_GB2312" w:eastAsia="仿宋_GB2312" w:cs="仿宋_GB2312"/>
          <w:color w:val="auto"/>
          <w:sz w:val="32"/>
          <w:szCs w:val="32"/>
          <w:highlight w:val="none"/>
        </w:rPr>
        <w:t>（图7：“三公”经费财政拨款支出结构）（饼状图）</w:t>
      </w:r>
    </w:p>
    <w:p>
      <w:pPr>
        <w:numPr>
          <w:ilvl w:val="0"/>
          <w:numId w:val="2"/>
        </w:numPr>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因公出国（境）经费支出</w:t>
      </w:r>
      <w:r>
        <w:rPr>
          <w:rFonts w:hint="eastAsia" w:ascii="仿宋_GB2312" w:hAnsi="仿宋_GB2312" w:cs="仿宋_GB2312"/>
          <w:b/>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w:t>
      </w:r>
      <w:r>
        <w:rPr>
          <w:rStyle w:val="14"/>
          <w:rFonts w:hint="eastAsia" w:ascii="仿宋_GB2312" w:hAnsi="仿宋_GB2312" w:eastAsia="仿宋_GB2312" w:cs="仿宋_GB2312"/>
          <w:b w:val="0"/>
          <w:bCs/>
          <w:color w:val="auto"/>
          <w:sz w:val="32"/>
          <w:szCs w:val="32"/>
          <w:highlight w:val="none"/>
        </w:rPr>
        <w:t>完成预算</w:t>
      </w:r>
      <w:r>
        <w:rPr>
          <w:rStyle w:val="14"/>
          <w:rFonts w:hint="eastAsia" w:ascii="仿宋_GB2312" w:hAnsi="仿宋_GB2312" w:cs="仿宋_GB2312"/>
          <w:b w:val="0"/>
          <w:bCs/>
          <w:color w:val="auto"/>
          <w:sz w:val="32"/>
          <w:szCs w:val="32"/>
          <w:highlight w:val="none"/>
          <w:lang w:val="en-US" w:eastAsia="zh-CN"/>
        </w:rPr>
        <w:t>100</w:t>
      </w:r>
      <w:r>
        <w:rPr>
          <w:rStyle w:val="14"/>
          <w:rFonts w:hint="eastAsia" w:ascii="仿宋_GB2312" w:hAnsi="仿宋_GB2312" w:eastAsia="仿宋_GB2312" w:cs="仿宋_GB2312"/>
          <w:b w:val="0"/>
          <w:bCs/>
          <w:color w:val="auto"/>
          <w:sz w:val="32"/>
          <w:szCs w:val="32"/>
          <w:highlight w:val="none"/>
        </w:rPr>
        <w:t>%。</w:t>
      </w:r>
      <w:r>
        <w:rPr>
          <w:rFonts w:hint="eastAsia" w:ascii="仿宋_GB2312" w:hAnsi="仿宋_GB2312" w:eastAsia="仿宋_GB2312" w:cs="仿宋_GB2312"/>
          <w:color w:val="auto"/>
          <w:sz w:val="32"/>
          <w:szCs w:val="32"/>
          <w:highlight w:val="none"/>
        </w:rPr>
        <w:t>全年安排因公出国（境）团组</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次，出国（境）</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人。因公出国（境）支出决算</w:t>
      </w:r>
      <w:r>
        <w:rPr>
          <w:rFonts w:hint="eastAsia" w:ascii="仿宋_GB2312" w:hAnsi="仿宋_GB2312" w:cs="仿宋_GB2312"/>
          <w:color w:val="auto"/>
          <w:sz w:val="32"/>
          <w:szCs w:val="32"/>
          <w:highlight w:val="none"/>
          <w:lang w:eastAsia="zh-CN"/>
        </w:rPr>
        <w:t>与</w:t>
      </w:r>
      <w:r>
        <w:rPr>
          <w:rFonts w:hint="eastAsia" w:ascii="仿宋_GB2312" w:hAnsi="仿宋_GB2312" w:cs="仿宋_GB2312"/>
          <w:color w:val="auto"/>
          <w:sz w:val="32"/>
          <w:szCs w:val="32"/>
          <w:highlight w:val="none"/>
          <w:lang w:val="en-US" w:eastAsia="zh-CN"/>
        </w:rPr>
        <w:t>2021年持平。</w:t>
      </w:r>
    </w:p>
    <w:p>
      <w:pPr>
        <w:spacing w:line="600" w:lineRule="exact"/>
        <w:ind w:firstLine="640"/>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2.公务用车购置及运行维护费支出</w:t>
      </w:r>
      <w:r>
        <w:rPr>
          <w:rFonts w:hint="eastAsia" w:ascii="仿宋_GB2312" w:hAnsi="仿宋_GB2312" w:cs="仿宋_GB2312"/>
          <w:b/>
          <w:color w:val="auto"/>
          <w:sz w:val="32"/>
          <w:szCs w:val="32"/>
          <w:highlight w:val="none"/>
          <w:lang w:val="en-US" w:eastAsia="zh-CN"/>
        </w:rPr>
        <w:t>17.38</w:t>
      </w:r>
      <w:r>
        <w:rPr>
          <w:rFonts w:hint="eastAsia" w:ascii="仿宋_GB2312" w:hAnsi="仿宋_GB2312" w:eastAsia="仿宋_GB2312" w:cs="仿宋_GB2312"/>
          <w:color w:val="auto"/>
          <w:sz w:val="32"/>
          <w:szCs w:val="32"/>
          <w:highlight w:val="none"/>
        </w:rPr>
        <w:t>万元,</w:t>
      </w:r>
      <w:r>
        <w:rPr>
          <w:rStyle w:val="14"/>
          <w:rFonts w:hint="eastAsia" w:ascii="仿宋_GB2312" w:hAnsi="仿宋_GB2312" w:eastAsia="仿宋_GB2312" w:cs="仿宋_GB2312"/>
          <w:b w:val="0"/>
          <w:bCs/>
          <w:color w:val="auto"/>
          <w:sz w:val="32"/>
          <w:szCs w:val="32"/>
          <w:highlight w:val="none"/>
        </w:rPr>
        <w:t>完成预算</w:t>
      </w:r>
      <w:r>
        <w:rPr>
          <w:rStyle w:val="14"/>
          <w:rFonts w:hint="eastAsia" w:ascii="仿宋_GB2312" w:hAnsi="仿宋_GB2312" w:cs="仿宋_GB2312"/>
          <w:b w:val="0"/>
          <w:bCs/>
          <w:color w:val="auto"/>
          <w:sz w:val="32"/>
          <w:szCs w:val="32"/>
          <w:highlight w:val="none"/>
          <w:lang w:val="en-US" w:eastAsia="zh-CN"/>
        </w:rPr>
        <w:t>100</w:t>
      </w:r>
      <w:r>
        <w:rPr>
          <w:rStyle w:val="14"/>
          <w:rFonts w:hint="eastAsia" w:ascii="仿宋_GB2312" w:hAnsi="仿宋_GB2312" w:eastAsia="仿宋_GB2312" w:cs="仿宋_GB2312"/>
          <w:b w:val="0"/>
          <w:bCs/>
          <w:color w:val="auto"/>
          <w:sz w:val="32"/>
          <w:szCs w:val="32"/>
          <w:highlight w:val="none"/>
        </w:rPr>
        <w:t>%。</w:t>
      </w:r>
      <w:r>
        <w:rPr>
          <w:rFonts w:hint="eastAsia" w:ascii="仿宋_GB2312" w:hAnsi="仿宋_GB2312" w:eastAsia="仿宋_GB2312" w:cs="仿宋_GB2312"/>
          <w:color w:val="auto"/>
          <w:sz w:val="32"/>
          <w:szCs w:val="32"/>
          <w:highlight w:val="none"/>
        </w:rPr>
        <w:t>公务用车购置及运行维护费支出决算比20</w:t>
      </w:r>
      <w:r>
        <w:rPr>
          <w:rFonts w:hint="eastAsia" w:ascii="仿宋_GB2312" w:hAnsi="仿宋_GB2312" w:eastAsia="仿宋_GB2312" w:cs="仿宋_GB2312"/>
          <w:color w:val="auto"/>
          <w:sz w:val="32"/>
          <w:szCs w:val="32"/>
          <w:highlight w:val="none"/>
          <w:lang w:val="en-US" w:eastAsia="zh-CN"/>
        </w:rPr>
        <w:t>21</w:t>
      </w:r>
      <w:r>
        <w:rPr>
          <w:rFonts w:hint="eastAsia" w:ascii="仿宋_GB2312" w:hAnsi="仿宋_GB2312" w:eastAsia="仿宋_GB2312" w:cs="仿宋_GB2312"/>
          <w:color w:val="auto"/>
          <w:sz w:val="32"/>
          <w:szCs w:val="32"/>
          <w:highlight w:val="none"/>
        </w:rPr>
        <w:t>年减少</w:t>
      </w:r>
      <w:r>
        <w:rPr>
          <w:rFonts w:hint="eastAsia" w:ascii="仿宋_GB2312" w:hAnsi="仿宋_GB2312" w:cs="仿宋_GB2312"/>
          <w:color w:val="auto"/>
          <w:sz w:val="32"/>
          <w:szCs w:val="32"/>
          <w:highlight w:val="none"/>
          <w:lang w:val="en-US" w:eastAsia="zh-CN"/>
        </w:rPr>
        <w:t>28.92</w:t>
      </w:r>
      <w:r>
        <w:rPr>
          <w:rFonts w:hint="eastAsia" w:ascii="仿宋_GB2312" w:hAnsi="仿宋_GB2312" w:eastAsia="仿宋_GB2312" w:cs="仿宋_GB2312"/>
          <w:color w:val="auto"/>
          <w:sz w:val="32"/>
          <w:szCs w:val="32"/>
          <w:highlight w:val="none"/>
        </w:rPr>
        <w:t>万元，下降</w:t>
      </w:r>
      <w:r>
        <w:rPr>
          <w:rFonts w:hint="eastAsia" w:ascii="仿宋_GB2312" w:hAnsi="仿宋_GB2312" w:cs="仿宋_GB2312"/>
          <w:color w:val="auto"/>
          <w:sz w:val="32"/>
          <w:szCs w:val="32"/>
          <w:highlight w:val="none"/>
          <w:lang w:val="en-US" w:eastAsia="zh-CN"/>
        </w:rPr>
        <w:t>62.46</w:t>
      </w:r>
      <w:r>
        <w:rPr>
          <w:rFonts w:hint="eastAsia" w:ascii="仿宋_GB2312" w:hAnsi="仿宋_GB2312" w:eastAsia="仿宋_GB2312" w:cs="仿宋_GB2312"/>
          <w:color w:val="auto"/>
          <w:sz w:val="32"/>
          <w:szCs w:val="32"/>
          <w:highlight w:val="none"/>
        </w:rPr>
        <w:t>%。主要原因</w:t>
      </w:r>
      <w:r>
        <w:rPr>
          <w:rFonts w:hint="eastAsia" w:ascii="仿宋_GB2312" w:hAnsi="仿宋_GB2312" w:cs="仿宋_GB2312"/>
          <w:color w:val="auto"/>
          <w:sz w:val="32"/>
          <w:szCs w:val="32"/>
          <w:highlight w:val="none"/>
          <w:lang w:eastAsia="zh-CN"/>
        </w:rPr>
        <w:t>是</w:t>
      </w:r>
      <w:r>
        <w:rPr>
          <w:rFonts w:hint="eastAsia" w:ascii="仿宋_GB2312" w:hAnsi="仿宋_GB2312" w:cs="仿宋_GB2312"/>
          <w:color w:val="auto"/>
          <w:sz w:val="32"/>
          <w:szCs w:val="32"/>
          <w:highlight w:val="none"/>
          <w:lang w:val="en-US" w:eastAsia="zh-CN"/>
        </w:rPr>
        <w:t>2021年</w:t>
      </w:r>
      <w:r>
        <w:rPr>
          <w:rFonts w:hint="eastAsia" w:ascii="仿宋_GB2312" w:hAnsi="仿宋_GB2312" w:eastAsia="仿宋_GB2312" w:cs="仿宋_GB2312"/>
          <w:color w:val="000000"/>
          <w:sz w:val="32"/>
          <w:szCs w:val="32"/>
        </w:rPr>
        <w:t>新购入一辆特种技术专业用车（车牌为川C378D0）</w:t>
      </w:r>
      <w:r>
        <w:rPr>
          <w:rFonts w:hint="eastAsia" w:ascii="仿宋_GB2312" w:hAnsi="仿宋_GB2312" w:cs="仿宋_GB2312"/>
          <w:color w:val="000000"/>
          <w:sz w:val="32"/>
          <w:szCs w:val="32"/>
          <w:lang w:eastAsia="zh-CN"/>
        </w:rPr>
        <w:t>，</w:t>
      </w:r>
      <w:r>
        <w:rPr>
          <w:rFonts w:hint="eastAsia" w:ascii="仿宋_GB2312" w:hAnsi="仿宋_GB2312" w:cs="仿宋_GB2312"/>
          <w:color w:val="000000"/>
          <w:sz w:val="32"/>
          <w:szCs w:val="32"/>
          <w:lang w:val="en-US" w:eastAsia="zh-CN"/>
        </w:rPr>
        <w:t>2022年没有公务用车购置计划</w:t>
      </w:r>
      <w:r>
        <w:rPr>
          <w:rFonts w:hint="eastAsia" w:ascii="仿宋_GB2312" w:hAnsi="仿宋_GB2312" w:eastAsia="仿宋_GB2312" w:cs="仿宋_GB2312"/>
          <w:color w:val="auto"/>
          <w:sz w:val="32"/>
          <w:szCs w:val="32"/>
          <w:highlight w:val="none"/>
        </w:rPr>
        <w:t>。</w:t>
      </w:r>
    </w:p>
    <w:p>
      <w:pPr>
        <w:spacing w:line="600" w:lineRule="exact"/>
        <w:ind w:firstLine="640" w:firstLineChars="200"/>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color w:val="auto"/>
          <w:sz w:val="32"/>
          <w:szCs w:val="32"/>
          <w:highlight w:val="none"/>
        </w:rPr>
        <w:t>其中：</w:t>
      </w:r>
      <w:r>
        <w:rPr>
          <w:rFonts w:hint="eastAsia" w:ascii="仿宋_GB2312" w:hAnsi="仿宋_GB2312" w:eastAsia="仿宋_GB2312" w:cs="仿宋_GB2312"/>
          <w:b/>
          <w:color w:val="auto"/>
          <w:sz w:val="32"/>
          <w:szCs w:val="32"/>
          <w:highlight w:val="none"/>
        </w:rPr>
        <w:t>公务用车购置支出</w:t>
      </w:r>
      <w:r>
        <w:rPr>
          <w:rFonts w:hint="eastAsia" w:ascii="仿宋_GB2312" w:hAnsi="仿宋_GB2312" w:cs="仿宋_GB2312"/>
          <w:b/>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万元。全年按规定更新购置公务用车</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辆。截至20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年12月底，单位共有公务用车</w:t>
      </w:r>
      <w:r>
        <w:rPr>
          <w:rFonts w:hint="eastAsia" w:ascii="仿宋_GB2312" w:hAnsi="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辆，其中：轿车</w:t>
      </w:r>
      <w:r>
        <w:rPr>
          <w:rFonts w:hint="eastAsia" w:ascii="仿宋_GB2312" w:hAnsi="仿宋_GB2312" w:cs="仿宋_GB2312"/>
          <w:color w:val="auto"/>
          <w:sz w:val="32"/>
          <w:szCs w:val="32"/>
          <w:highlight w:val="none"/>
          <w:lang w:val="en-US" w:eastAsia="zh-CN"/>
        </w:rPr>
        <w:t>8</w:t>
      </w:r>
      <w:r>
        <w:rPr>
          <w:rFonts w:hint="eastAsia" w:ascii="仿宋_GB2312" w:hAnsi="仿宋_GB2312" w:eastAsia="仿宋_GB2312" w:cs="仿宋_GB2312"/>
          <w:color w:val="auto"/>
          <w:sz w:val="32"/>
          <w:szCs w:val="32"/>
          <w:highlight w:val="none"/>
        </w:rPr>
        <w:t>辆、越野车</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辆、载客汽车</w:t>
      </w:r>
      <w:r>
        <w:rPr>
          <w:rFonts w:hint="eastAsia" w:ascii="仿宋_GB2312" w:hAnsi="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辆。</w:t>
      </w:r>
    </w:p>
    <w:p>
      <w:pPr>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公务用车运行维护费支出</w:t>
      </w:r>
      <w:r>
        <w:rPr>
          <w:rFonts w:hint="eastAsia" w:ascii="仿宋_GB2312" w:hAnsi="仿宋_GB2312" w:cs="仿宋_GB2312"/>
          <w:b/>
          <w:color w:val="auto"/>
          <w:sz w:val="32"/>
          <w:szCs w:val="32"/>
          <w:highlight w:val="none"/>
          <w:lang w:val="en-US" w:eastAsia="zh-CN"/>
        </w:rPr>
        <w:t>17.38</w:t>
      </w:r>
      <w:r>
        <w:rPr>
          <w:rFonts w:hint="eastAsia" w:ascii="仿宋_GB2312" w:hAnsi="仿宋_GB2312" w:eastAsia="仿宋_GB2312" w:cs="仿宋_GB2312"/>
          <w:color w:val="auto"/>
          <w:sz w:val="32"/>
          <w:szCs w:val="32"/>
          <w:highlight w:val="none"/>
        </w:rPr>
        <w:t>万元。主要用于</w:t>
      </w:r>
      <w:r>
        <w:rPr>
          <w:rFonts w:hint="eastAsia" w:ascii="仿宋_GB2312" w:hAnsi="仿宋_GB2312" w:eastAsia="仿宋_GB2312" w:cs="仿宋_GB2312"/>
          <w:sz w:val="32"/>
          <w:szCs w:val="32"/>
        </w:rPr>
        <w:t>办案、 开会、培训、交报表材料</w:t>
      </w:r>
      <w:r>
        <w:rPr>
          <w:rFonts w:hint="eastAsia" w:ascii="仿宋_GB2312" w:hAnsi="仿宋_GB2312" w:eastAsia="仿宋_GB2312" w:cs="仿宋_GB2312"/>
          <w:color w:val="auto"/>
          <w:sz w:val="32"/>
          <w:szCs w:val="32"/>
          <w:highlight w:val="none"/>
        </w:rPr>
        <w:t>等所需的公务用车燃料费、维修费、过路过桥费、保险费等支出。</w:t>
      </w:r>
    </w:p>
    <w:p>
      <w:pPr>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3.公务接待费支出</w:t>
      </w:r>
      <w:r>
        <w:rPr>
          <w:rFonts w:hint="eastAsia" w:ascii="仿宋_GB2312" w:hAnsi="仿宋_GB2312" w:cs="仿宋_GB2312"/>
          <w:b/>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w:t>
      </w:r>
      <w:r>
        <w:rPr>
          <w:rStyle w:val="14"/>
          <w:rFonts w:hint="eastAsia" w:ascii="仿宋_GB2312" w:hAnsi="仿宋_GB2312" w:eastAsia="仿宋_GB2312" w:cs="仿宋_GB2312"/>
          <w:b w:val="0"/>
          <w:bCs/>
          <w:color w:val="auto"/>
          <w:sz w:val="32"/>
          <w:szCs w:val="32"/>
          <w:highlight w:val="none"/>
        </w:rPr>
        <w:t>完成预算</w:t>
      </w:r>
      <w:r>
        <w:rPr>
          <w:rStyle w:val="14"/>
          <w:rFonts w:hint="eastAsia" w:ascii="仿宋_GB2312" w:hAnsi="仿宋_GB2312" w:cs="仿宋_GB2312"/>
          <w:b w:val="0"/>
          <w:bCs/>
          <w:color w:val="auto"/>
          <w:sz w:val="32"/>
          <w:szCs w:val="32"/>
          <w:highlight w:val="none"/>
          <w:lang w:val="en-US" w:eastAsia="zh-CN"/>
        </w:rPr>
        <w:t>100</w:t>
      </w:r>
      <w:r>
        <w:rPr>
          <w:rStyle w:val="14"/>
          <w:rFonts w:hint="eastAsia" w:ascii="仿宋_GB2312" w:hAnsi="仿宋_GB2312" w:eastAsia="仿宋_GB2312" w:cs="仿宋_GB2312"/>
          <w:b w:val="0"/>
          <w:bCs/>
          <w:color w:val="auto"/>
          <w:sz w:val="32"/>
          <w:szCs w:val="32"/>
          <w:highlight w:val="none"/>
        </w:rPr>
        <w:t>%。</w:t>
      </w:r>
      <w:r>
        <w:rPr>
          <w:rFonts w:hint="eastAsia" w:ascii="仿宋_GB2312" w:hAnsi="仿宋_GB2312" w:eastAsia="仿宋_GB2312" w:cs="仿宋_GB2312"/>
          <w:color w:val="auto"/>
          <w:sz w:val="32"/>
          <w:szCs w:val="32"/>
          <w:highlight w:val="none"/>
        </w:rPr>
        <w:t>公务接待费支出决算</w:t>
      </w:r>
      <w:r>
        <w:rPr>
          <w:rFonts w:hint="eastAsia" w:ascii="仿宋_GB2312" w:hAnsi="仿宋_GB2312" w:cs="仿宋_GB2312"/>
          <w:color w:val="auto"/>
          <w:sz w:val="32"/>
          <w:szCs w:val="32"/>
          <w:highlight w:val="none"/>
          <w:lang w:eastAsia="zh-CN"/>
        </w:rPr>
        <w:t>与</w:t>
      </w: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21</w:t>
      </w:r>
      <w:r>
        <w:rPr>
          <w:rFonts w:hint="eastAsia" w:ascii="仿宋_GB2312" w:hAnsi="仿宋_GB2312" w:eastAsia="仿宋_GB2312" w:cs="仿宋_GB2312"/>
          <w:color w:val="auto"/>
          <w:sz w:val="32"/>
          <w:szCs w:val="32"/>
          <w:highlight w:val="none"/>
        </w:rPr>
        <w:t>年</w:t>
      </w:r>
      <w:r>
        <w:rPr>
          <w:rFonts w:hint="eastAsia" w:ascii="仿宋_GB2312" w:hAnsi="仿宋_GB2312" w:cs="仿宋_GB2312"/>
          <w:color w:val="auto"/>
          <w:sz w:val="32"/>
          <w:szCs w:val="32"/>
          <w:highlight w:val="none"/>
          <w:lang w:eastAsia="zh-CN"/>
        </w:rPr>
        <w:t>持平，原因为</w:t>
      </w:r>
      <w:r>
        <w:rPr>
          <w:rFonts w:hint="eastAsia" w:ascii="仿宋_GB2312" w:hAnsi="仿宋_GB2312" w:cs="仿宋_GB2312"/>
          <w:color w:val="auto"/>
          <w:sz w:val="32"/>
          <w:szCs w:val="32"/>
          <w:highlight w:val="none"/>
          <w:lang w:val="en-US" w:eastAsia="zh-CN"/>
        </w:rPr>
        <w:t>2021年和2022年均未发生公务接待事项</w:t>
      </w:r>
      <w:r>
        <w:rPr>
          <w:rFonts w:hint="eastAsia" w:ascii="仿宋_GB2312" w:hAnsi="仿宋_GB2312" w:eastAsia="仿宋_GB2312" w:cs="仿宋_GB2312"/>
          <w:color w:val="auto"/>
          <w:sz w:val="32"/>
          <w:szCs w:val="32"/>
          <w:highlight w:val="none"/>
        </w:rPr>
        <w:t>。其中：</w:t>
      </w:r>
    </w:p>
    <w:p>
      <w:pPr>
        <w:spacing w:line="600" w:lineRule="exact"/>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color w:val="auto"/>
          <w:sz w:val="32"/>
          <w:szCs w:val="32"/>
          <w:highlight w:val="none"/>
        </w:rPr>
        <w:t>国内公务接待支出</w:t>
      </w:r>
      <w:r>
        <w:rPr>
          <w:rFonts w:hint="eastAsia" w:ascii="仿宋_GB2312" w:hAnsi="仿宋_GB2312" w:cs="仿宋_GB2312"/>
          <w:b/>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万元，国内公务接待</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批次，</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人次（不包括陪同人员），共计支出</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w:t>
      </w:r>
    </w:p>
    <w:p>
      <w:pPr>
        <w:spacing w:line="600" w:lineRule="exact"/>
        <w:ind w:firstLine="643" w:firstLineChars="200"/>
        <w:rPr>
          <w:rFonts w:ascii="黑体" w:eastAsia="黑体"/>
          <w:color w:val="000000"/>
          <w:sz w:val="32"/>
          <w:szCs w:val="32"/>
        </w:rPr>
      </w:pPr>
      <w:r>
        <w:rPr>
          <w:rFonts w:hint="eastAsia" w:ascii="仿宋_GB2312" w:hAnsi="仿宋_GB2312" w:eastAsia="仿宋_GB2312" w:cs="仿宋_GB2312"/>
          <w:b/>
          <w:color w:val="auto"/>
          <w:sz w:val="32"/>
          <w:szCs w:val="32"/>
          <w:highlight w:val="none"/>
        </w:rPr>
        <w:t>外事接待支出</w:t>
      </w:r>
      <w:r>
        <w:rPr>
          <w:rFonts w:hint="eastAsia" w:ascii="仿宋_GB2312" w:hAnsi="仿宋_GB2312" w:cs="仿宋_GB2312"/>
          <w:b/>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w:t>
      </w:r>
      <w:r>
        <w:rPr>
          <w:rFonts w:hint="eastAsia" w:ascii="仿宋_GB2312" w:hAnsi="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外事接待</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批次，</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人</w:t>
      </w:r>
      <w:r>
        <w:rPr>
          <w:rFonts w:hint="eastAsia" w:ascii="仿宋_GB2312" w:hAnsi="仿宋_GB2312" w:eastAsia="仿宋_GB2312" w:cs="仿宋_GB2312"/>
          <w:color w:val="auto"/>
          <w:sz w:val="32"/>
          <w:szCs w:val="32"/>
          <w:highlight w:val="none"/>
          <w:lang w:eastAsia="zh-CN"/>
        </w:rPr>
        <w:t>次（不包括陪同人员）</w:t>
      </w:r>
      <w:r>
        <w:rPr>
          <w:rFonts w:hint="eastAsia" w:ascii="仿宋_GB2312" w:hAnsi="仿宋_GB2312" w:eastAsia="仿宋_GB2312" w:cs="仿宋_GB2312"/>
          <w:color w:val="auto"/>
          <w:sz w:val="32"/>
          <w:szCs w:val="32"/>
          <w:highlight w:val="none"/>
        </w:rPr>
        <w:t>，共计支出</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w:t>
      </w:r>
      <w:bookmarkStart w:id="39" w:name="_Toc15396610"/>
      <w:bookmarkStart w:id="40" w:name="_Toc15377218"/>
    </w:p>
    <w:p>
      <w:pPr>
        <w:spacing w:line="600" w:lineRule="exact"/>
        <w:ind w:firstLine="640"/>
        <w:outlineLvl w:val="1"/>
        <w:rPr>
          <w:rStyle w:val="17"/>
          <w:rFonts w:ascii="黑体" w:hAnsi="黑体" w:eastAsia="黑体"/>
        </w:rPr>
      </w:pPr>
      <w:bookmarkStart w:id="41" w:name="_Toc1267697087"/>
      <w:r>
        <w:rPr>
          <w:rFonts w:hint="eastAsia" w:ascii="黑体" w:eastAsia="黑体"/>
          <w:color w:val="000000"/>
          <w:sz w:val="32"/>
          <w:szCs w:val="32"/>
        </w:rPr>
        <w:t>八、</w:t>
      </w:r>
      <w:r>
        <w:rPr>
          <w:rStyle w:val="17"/>
          <w:rFonts w:hint="eastAsia" w:ascii="黑体" w:hAnsi="黑体" w:eastAsia="黑体"/>
          <w:b w:val="0"/>
        </w:rPr>
        <w:t>政府性基金预算支出决算情况说明</w:t>
      </w:r>
      <w:bookmarkEnd w:id="39"/>
      <w:bookmarkEnd w:id="40"/>
      <w:bookmarkEnd w:id="41"/>
    </w:p>
    <w:p>
      <w:pPr>
        <w:spacing w:line="600" w:lineRule="exact"/>
        <w:ind w:firstLine="640"/>
        <w:rPr>
          <w:rFonts w:ascii="仿宋_GB2312" w:eastAsia="仿宋_GB2312"/>
          <w:color w:val="000000"/>
          <w:sz w:val="32"/>
          <w:szCs w:val="32"/>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年政府性基金预算</w:t>
      </w:r>
      <w:r>
        <w:rPr>
          <w:rFonts w:hint="eastAsia" w:ascii="仿宋_GB2312" w:hAnsi="仿宋_GB2312" w:eastAsia="仿宋_GB2312" w:cs="仿宋_GB2312"/>
          <w:color w:val="auto"/>
          <w:sz w:val="32"/>
          <w:szCs w:val="32"/>
          <w:highlight w:val="none"/>
          <w:lang w:eastAsia="zh-CN"/>
        </w:rPr>
        <w:t>财政</w:t>
      </w:r>
      <w:r>
        <w:rPr>
          <w:rFonts w:hint="eastAsia" w:ascii="仿宋_GB2312" w:hAnsi="仿宋_GB2312" w:eastAsia="仿宋_GB2312" w:cs="仿宋_GB2312"/>
          <w:color w:val="auto"/>
          <w:sz w:val="32"/>
          <w:szCs w:val="32"/>
          <w:highlight w:val="none"/>
        </w:rPr>
        <w:t>拨款支出</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w:t>
      </w:r>
    </w:p>
    <w:p>
      <w:pPr>
        <w:numPr>
          <w:ilvl w:val="0"/>
          <w:numId w:val="3"/>
        </w:numPr>
        <w:spacing w:line="600" w:lineRule="exact"/>
        <w:ind w:firstLine="640"/>
        <w:outlineLvl w:val="1"/>
        <w:rPr>
          <w:rStyle w:val="17"/>
          <w:rFonts w:ascii="黑体" w:hAnsi="黑体" w:eastAsia="黑体"/>
          <w:b w:val="0"/>
        </w:rPr>
      </w:pPr>
      <w:bookmarkStart w:id="42" w:name="_Toc15396611"/>
      <w:bookmarkStart w:id="43" w:name="_Toc15377219"/>
      <w:bookmarkStart w:id="44" w:name="_Toc2081112177"/>
      <w:r>
        <w:rPr>
          <w:rStyle w:val="17"/>
          <w:rFonts w:hint="eastAsia" w:ascii="黑体" w:hAnsi="黑体" w:eastAsia="黑体"/>
          <w:b w:val="0"/>
        </w:rPr>
        <w:t>国有资本经营预算支出决算情况说明</w:t>
      </w:r>
      <w:bookmarkEnd w:id="42"/>
      <w:bookmarkEnd w:id="43"/>
      <w:bookmarkEnd w:id="44"/>
    </w:p>
    <w:p>
      <w:pPr>
        <w:spacing w:line="600" w:lineRule="exact"/>
        <w:ind w:firstLine="640"/>
        <w:rPr>
          <w:rFonts w:ascii="方正小标宋简体" w:hAnsi="方正小标宋简体" w:eastAsia="方正小标宋简体" w:cs="方正小标宋简体"/>
          <w:sz w:val="44"/>
          <w:szCs w:val="44"/>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年国有资本经营预算</w:t>
      </w:r>
      <w:r>
        <w:rPr>
          <w:rFonts w:hint="eastAsia" w:ascii="仿宋_GB2312" w:hAnsi="仿宋_GB2312" w:eastAsia="仿宋_GB2312" w:cs="仿宋_GB2312"/>
          <w:color w:val="auto"/>
          <w:sz w:val="32"/>
          <w:szCs w:val="32"/>
          <w:highlight w:val="none"/>
          <w:lang w:eastAsia="zh-CN"/>
        </w:rPr>
        <w:t>财政</w:t>
      </w:r>
      <w:r>
        <w:rPr>
          <w:rFonts w:hint="eastAsia" w:ascii="仿宋_GB2312" w:hAnsi="仿宋_GB2312" w:eastAsia="仿宋_GB2312" w:cs="仿宋_GB2312"/>
          <w:color w:val="auto"/>
          <w:sz w:val="32"/>
          <w:szCs w:val="32"/>
          <w:highlight w:val="none"/>
        </w:rPr>
        <w:t>拨款支出</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w:t>
      </w:r>
    </w:p>
    <w:p>
      <w:pPr>
        <w:spacing w:line="600" w:lineRule="exact"/>
        <w:ind w:firstLine="800" w:firstLineChars="250"/>
        <w:outlineLvl w:val="1"/>
        <w:rPr>
          <w:rStyle w:val="17"/>
          <w:rFonts w:ascii="黑体" w:hAnsi="黑体" w:eastAsia="黑体"/>
        </w:rPr>
      </w:pPr>
      <w:bookmarkStart w:id="45" w:name="_Toc15396612"/>
      <w:bookmarkStart w:id="46" w:name="_Toc189374103"/>
      <w:bookmarkStart w:id="47" w:name="_Toc15377221"/>
      <w:r>
        <w:rPr>
          <w:rFonts w:hint="eastAsia" w:ascii="黑体" w:hAnsi="黑体" w:eastAsia="黑体"/>
          <w:color w:val="000000"/>
          <w:sz w:val="32"/>
          <w:szCs w:val="32"/>
        </w:rPr>
        <w:t>十</w:t>
      </w:r>
      <w:r>
        <w:rPr>
          <w:rStyle w:val="17"/>
          <w:rFonts w:hint="eastAsia" w:ascii="黑体" w:hAnsi="黑体" w:eastAsia="黑体"/>
        </w:rPr>
        <w:t>、</w:t>
      </w:r>
      <w:r>
        <w:rPr>
          <w:rStyle w:val="17"/>
          <w:rFonts w:hint="eastAsia" w:ascii="黑体" w:hAnsi="黑体" w:eastAsia="黑体"/>
          <w:b w:val="0"/>
        </w:rPr>
        <w:t>其他重要事项的情况说明</w:t>
      </w:r>
      <w:bookmarkEnd w:id="45"/>
      <w:bookmarkEnd w:id="46"/>
      <w:bookmarkEnd w:id="47"/>
    </w:p>
    <w:p>
      <w:pPr>
        <w:spacing w:line="600" w:lineRule="exact"/>
        <w:ind w:firstLine="643" w:firstLineChars="200"/>
        <w:outlineLvl w:val="2"/>
        <w:rPr>
          <w:rFonts w:hint="eastAsia" w:ascii="仿宋_GB2312" w:hAnsi="仿宋_GB2312" w:eastAsia="仿宋_GB2312" w:cs="仿宋_GB2312"/>
          <w:color w:val="000000"/>
          <w:sz w:val="32"/>
          <w:szCs w:val="32"/>
        </w:rPr>
      </w:pPr>
      <w:bookmarkStart w:id="48" w:name="_Toc15377222"/>
      <w:r>
        <w:rPr>
          <w:rFonts w:hint="eastAsia" w:ascii="仿宋_GB2312" w:hAnsi="仿宋_GB2312" w:eastAsia="仿宋_GB2312" w:cs="仿宋_GB2312"/>
          <w:b/>
          <w:color w:val="000000"/>
          <w:sz w:val="32"/>
          <w:szCs w:val="32"/>
        </w:rPr>
        <w:t>（一）机关运行经费支出情况</w:t>
      </w:r>
      <w:bookmarkEnd w:id="48"/>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w:t>
      </w:r>
      <w:r>
        <w:rPr>
          <w:rFonts w:hint="eastAsia" w:ascii="仿宋_GB2312" w:hAnsi="仿宋_GB2312" w:cs="仿宋_GB2312"/>
          <w:color w:val="auto"/>
          <w:sz w:val="32"/>
          <w:szCs w:val="32"/>
          <w:highlight w:val="none"/>
          <w:lang w:eastAsia="zh-CN"/>
        </w:rPr>
        <w:t>自贡市沿滩区人民检察院</w:t>
      </w:r>
      <w:r>
        <w:rPr>
          <w:rFonts w:hint="eastAsia" w:ascii="仿宋_GB2312" w:hAnsi="仿宋_GB2312" w:eastAsia="仿宋_GB2312" w:cs="仿宋_GB2312"/>
          <w:color w:val="auto"/>
          <w:sz w:val="32"/>
          <w:szCs w:val="32"/>
          <w:highlight w:val="none"/>
        </w:rPr>
        <w:t>机关运行经费支出</w:t>
      </w:r>
      <w:r>
        <w:rPr>
          <w:rFonts w:hint="eastAsia" w:ascii="仿宋_GB2312" w:hAnsi="仿宋_GB2312" w:cs="仿宋_GB2312"/>
          <w:color w:val="auto"/>
          <w:sz w:val="32"/>
          <w:szCs w:val="32"/>
          <w:highlight w:val="none"/>
          <w:lang w:val="en-US" w:eastAsia="zh-CN"/>
        </w:rPr>
        <w:t>143.12</w:t>
      </w:r>
      <w:r>
        <w:rPr>
          <w:rFonts w:hint="eastAsia" w:ascii="仿宋_GB2312" w:hAnsi="仿宋_GB2312" w:eastAsia="仿宋_GB2312" w:cs="仿宋_GB2312"/>
          <w:color w:val="auto"/>
          <w:sz w:val="32"/>
          <w:szCs w:val="32"/>
          <w:highlight w:val="none"/>
        </w:rPr>
        <w:t>万元，比20</w:t>
      </w:r>
      <w:r>
        <w:rPr>
          <w:rFonts w:hint="eastAsia" w:ascii="仿宋_GB2312" w:hAnsi="仿宋_GB2312" w:eastAsia="仿宋_GB2312" w:cs="仿宋_GB2312"/>
          <w:color w:val="auto"/>
          <w:sz w:val="32"/>
          <w:szCs w:val="32"/>
          <w:highlight w:val="none"/>
          <w:lang w:val="en-US" w:eastAsia="zh-CN"/>
        </w:rPr>
        <w:t>21</w:t>
      </w:r>
      <w:r>
        <w:rPr>
          <w:rFonts w:hint="eastAsia" w:ascii="仿宋_GB2312" w:hAnsi="仿宋_GB2312" w:eastAsia="仿宋_GB2312" w:cs="仿宋_GB2312"/>
          <w:color w:val="auto"/>
          <w:sz w:val="32"/>
          <w:szCs w:val="32"/>
          <w:highlight w:val="none"/>
        </w:rPr>
        <w:t>年减少</w:t>
      </w:r>
      <w:r>
        <w:rPr>
          <w:rFonts w:hint="eastAsia" w:ascii="仿宋_GB2312" w:hAnsi="仿宋_GB2312" w:cs="仿宋_GB2312"/>
          <w:color w:val="auto"/>
          <w:sz w:val="32"/>
          <w:szCs w:val="32"/>
          <w:highlight w:val="none"/>
          <w:lang w:val="en-US" w:eastAsia="zh-CN"/>
        </w:rPr>
        <w:t>122.55</w:t>
      </w:r>
      <w:r>
        <w:rPr>
          <w:rFonts w:hint="eastAsia" w:ascii="仿宋_GB2312" w:hAnsi="仿宋_GB2312" w:eastAsia="仿宋_GB2312" w:cs="仿宋_GB2312"/>
          <w:color w:val="auto"/>
          <w:sz w:val="32"/>
          <w:szCs w:val="32"/>
          <w:highlight w:val="none"/>
        </w:rPr>
        <w:t>万元，下降</w:t>
      </w:r>
      <w:r>
        <w:rPr>
          <w:rFonts w:hint="eastAsia" w:ascii="仿宋_GB2312" w:hAnsi="仿宋_GB2312" w:cs="仿宋_GB2312"/>
          <w:color w:val="auto"/>
          <w:sz w:val="32"/>
          <w:szCs w:val="32"/>
          <w:highlight w:val="none"/>
          <w:lang w:val="en-US" w:eastAsia="zh-CN"/>
        </w:rPr>
        <w:t>46.13</w:t>
      </w:r>
      <w:r>
        <w:rPr>
          <w:rFonts w:hint="eastAsia" w:ascii="仿宋_GB2312" w:hAnsi="仿宋_GB2312" w:eastAsia="仿宋_GB2312" w:cs="仿宋_GB2312"/>
          <w:color w:val="auto"/>
          <w:sz w:val="32"/>
          <w:szCs w:val="32"/>
          <w:highlight w:val="none"/>
        </w:rPr>
        <w:t>%。主要原因是</w:t>
      </w:r>
      <w:r>
        <w:rPr>
          <w:rFonts w:hint="eastAsia" w:ascii="仿宋_GB2312" w:hAnsi="仿宋_GB2312" w:cs="仿宋_GB2312"/>
          <w:color w:val="auto"/>
          <w:sz w:val="32"/>
          <w:szCs w:val="32"/>
          <w:highlight w:val="none"/>
          <w:lang w:eastAsia="zh-CN"/>
        </w:rPr>
        <w:t>购置计划减少，相关支出降低</w:t>
      </w:r>
      <w:r>
        <w:rPr>
          <w:rFonts w:hint="eastAsia" w:ascii="仿宋_GB2312" w:hAnsi="仿宋_GB2312" w:eastAsia="仿宋_GB2312" w:cs="仿宋_GB2312"/>
          <w:color w:val="auto"/>
          <w:sz w:val="32"/>
          <w:szCs w:val="32"/>
          <w:highlight w:val="none"/>
          <w:lang w:eastAsia="zh-CN"/>
        </w:rPr>
        <w:t>。</w:t>
      </w:r>
    </w:p>
    <w:p>
      <w:pPr>
        <w:autoSpaceDE w:val="0"/>
        <w:autoSpaceDN w:val="0"/>
        <w:adjustRightInd w:val="0"/>
        <w:spacing w:line="600" w:lineRule="exact"/>
        <w:ind w:firstLine="643" w:firstLineChars="200"/>
        <w:jc w:val="left"/>
        <w:outlineLvl w:val="2"/>
        <w:rPr>
          <w:rFonts w:hint="eastAsia" w:ascii="仿宋_GB2312" w:hAnsi="仿宋_GB2312" w:eastAsia="仿宋_GB2312" w:cs="仿宋_GB2312"/>
          <w:b/>
          <w:color w:val="000000"/>
          <w:sz w:val="32"/>
          <w:szCs w:val="32"/>
        </w:rPr>
      </w:pPr>
      <w:bookmarkStart w:id="49" w:name="_Toc15377223"/>
      <w:r>
        <w:rPr>
          <w:rFonts w:hint="eastAsia" w:ascii="仿宋_GB2312" w:hAnsi="仿宋_GB2312" w:eastAsia="仿宋_GB2312" w:cs="仿宋_GB2312"/>
          <w:b/>
          <w:color w:val="000000"/>
          <w:sz w:val="32"/>
          <w:szCs w:val="32"/>
        </w:rPr>
        <w:t>（二）政府采购支出情况</w:t>
      </w:r>
      <w:bookmarkEnd w:id="49"/>
    </w:p>
    <w:p>
      <w:pPr>
        <w:spacing w:line="60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w:t>
      </w:r>
      <w:r>
        <w:rPr>
          <w:rFonts w:hint="eastAsia" w:ascii="仿宋_GB2312" w:hAnsi="仿宋_GB2312" w:cs="仿宋_GB2312"/>
          <w:color w:val="auto"/>
          <w:sz w:val="32"/>
          <w:szCs w:val="32"/>
          <w:highlight w:val="none"/>
          <w:lang w:eastAsia="zh-CN"/>
        </w:rPr>
        <w:t>自贡市沿滩区人民检察院</w:t>
      </w:r>
      <w:r>
        <w:rPr>
          <w:rFonts w:hint="eastAsia" w:ascii="仿宋_GB2312" w:hAnsi="仿宋_GB2312" w:eastAsia="仿宋_GB2312" w:cs="仿宋_GB2312"/>
          <w:color w:val="auto"/>
          <w:sz w:val="32"/>
          <w:szCs w:val="32"/>
          <w:highlight w:val="none"/>
        </w:rPr>
        <w:t>政府采购支出总额</w:t>
      </w:r>
      <w:r>
        <w:rPr>
          <w:rFonts w:hint="eastAsia" w:ascii="仿宋_GB2312" w:hAnsi="仿宋_GB2312" w:cs="仿宋_GB2312"/>
          <w:color w:val="auto"/>
          <w:sz w:val="32"/>
          <w:szCs w:val="32"/>
          <w:highlight w:val="none"/>
          <w:lang w:val="en-US" w:eastAsia="zh-CN"/>
        </w:rPr>
        <w:t>88.24</w:t>
      </w:r>
      <w:r>
        <w:rPr>
          <w:rFonts w:hint="eastAsia" w:ascii="仿宋_GB2312" w:hAnsi="仿宋_GB2312" w:eastAsia="仿宋_GB2312" w:cs="仿宋_GB2312"/>
          <w:color w:val="auto"/>
          <w:sz w:val="32"/>
          <w:szCs w:val="32"/>
          <w:highlight w:val="none"/>
        </w:rPr>
        <w:t>万元，其中：政府采购货物支出</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万元、政府采购工程支出</w:t>
      </w:r>
      <w:r>
        <w:rPr>
          <w:rFonts w:hint="eastAsia" w:ascii="仿宋_GB2312" w:hAnsi="仿宋_GB2312" w:cs="仿宋_GB2312"/>
          <w:color w:val="auto"/>
          <w:sz w:val="32"/>
          <w:szCs w:val="32"/>
          <w:highlight w:val="none"/>
          <w:lang w:val="en-US" w:eastAsia="zh-CN"/>
        </w:rPr>
        <w:t>30</w:t>
      </w:r>
      <w:r>
        <w:rPr>
          <w:rFonts w:hint="eastAsia" w:ascii="仿宋_GB2312" w:hAnsi="仿宋_GB2312" w:eastAsia="仿宋_GB2312" w:cs="仿宋_GB2312"/>
          <w:color w:val="auto"/>
          <w:sz w:val="32"/>
          <w:szCs w:val="32"/>
          <w:highlight w:val="none"/>
        </w:rPr>
        <w:t>万元、政府采购服务支出</w:t>
      </w:r>
      <w:r>
        <w:rPr>
          <w:rFonts w:hint="eastAsia" w:ascii="仿宋_GB2312" w:hAnsi="仿宋_GB2312" w:cs="仿宋_GB2312"/>
          <w:color w:val="auto"/>
          <w:sz w:val="32"/>
          <w:szCs w:val="32"/>
          <w:highlight w:val="none"/>
          <w:lang w:val="en-US" w:eastAsia="zh-CN"/>
        </w:rPr>
        <w:t>58.24</w:t>
      </w:r>
      <w:r>
        <w:rPr>
          <w:rFonts w:hint="eastAsia" w:ascii="仿宋_GB2312" w:hAnsi="仿宋_GB2312" w:eastAsia="仿宋_GB2312" w:cs="仿宋_GB2312"/>
          <w:color w:val="auto"/>
          <w:sz w:val="32"/>
          <w:szCs w:val="32"/>
          <w:highlight w:val="none"/>
        </w:rPr>
        <w:t>万元。主要用于</w:t>
      </w:r>
      <w:r>
        <w:rPr>
          <w:rFonts w:hint="eastAsia" w:ascii="仿宋_GB2312" w:hAnsi="仿宋_GB2312" w:cs="仿宋_GB2312"/>
          <w:color w:val="auto"/>
          <w:sz w:val="32"/>
          <w:szCs w:val="32"/>
          <w:highlight w:val="none"/>
          <w:lang w:eastAsia="zh-CN"/>
        </w:rPr>
        <w:t>沿滩区检察院办案用房和专业技术用房信息化建设、办公设备购置、公务用车加油运行及维护</w:t>
      </w:r>
      <w:r>
        <w:rPr>
          <w:rFonts w:hint="eastAsia" w:ascii="仿宋_GB2312" w:hAnsi="仿宋_GB2312" w:eastAsia="仿宋_GB2312" w:cs="仿宋_GB2312"/>
          <w:color w:val="auto"/>
          <w:sz w:val="32"/>
          <w:szCs w:val="32"/>
          <w:highlight w:val="none"/>
        </w:rPr>
        <w:t>。授予中小企业合同金额</w:t>
      </w:r>
      <w:r>
        <w:rPr>
          <w:rFonts w:hint="eastAsia" w:ascii="仿宋_GB2312" w:hAnsi="仿宋_GB2312" w:cs="仿宋_GB2312"/>
          <w:color w:val="auto"/>
          <w:sz w:val="32"/>
          <w:szCs w:val="32"/>
          <w:highlight w:val="none"/>
          <w:lang w:val="en-US" w:eastAsia="zh-CN"/>
        </w:rPr>
        <w:t>88.24</w:t>
      </w:r>
      <w:r>
        <w:rPr>
          <w:rFonts w:hint="eastAsia" w:ascii="仿宋_GB2312" w:hAnsi="仿宋_GB2312" w:eastAsia="仿宋_GB2312" w:cs="仿宋_GB2312"/>
          <w:color w:val="auto"/>
          <w:sz w:val="32"/>
          <w:szCs w:val="32"/>
          <w:highlight w:val="none"/>
        </w:rPr>
        <w:t>万元，占政府采购支出总额的</w:t>
      </w:r>
      <w:r>
        <w:rPr>
          <w:rFonts w:hint="eastAsia" w:ascii="仿宋_GB2312" w:hAnsi="仿宋_GB2312" w:cs="仿宋_GB2312"/>
          <w:color w:val="auto"/>
          <w:sz w:val="32"/>
          <w:szCs w:val="32"/>
          <w:highlight w:val="none"/>
          <w:lang w:val="en-US" w:eastAsia="zh-CN"/>
        </w:rPr>
        <w:t>100</w:t>
      </w:r>
      <w:r>
        <w:rPr>
          <w:rFonts w:hint="eastAsia" w:ascii="仿宋_GB2312" w:hAnsi="仿宋_GB2312" w:eastAsia="仿宋_GB2312" w:cs="仿宋_GB2312"/>
          <w:color w:val="auto"/>
          <w:sz w:val="32"/>
          <w:szCs w:val="32"/>
          <w:highlight w:val="none"/>
        </w:rPr>
        <w:t>%，其中：授予小微企业合同金额</w:t>
      </w:r>
      <w:r>
        <w:rPr>
          <w:rFonts w:hint="eastAsia" w:ascii="仿宋_GB2312" w:hAnsi="仿宋_GB2312" w:cs="仿宋_GB2312"/>
          <w:color w:val="auto"/>
          <w:sz w:val="32"/>
          <w:szCs w:val="32"/>
          <w:highlight w:val="none"/>
          <w:lang w:val="en-US" w:eastAsia="zh-CN"/>
        </w:rPr>
        <w:t>88.24</w:t>
      </w:r>
      <w:r>
        <w:rPr>
          <w:rFonts w:hint="eastAsia" w:ascii="仿宋_GB2312" w:hAnsi="仿宋_GB2312" w:eastAsia="仿宋_GB2312" w:cs="仿宋_GB2312"/>
          <w:color w:val="auto"/>
          <w:sz w:val="32"/>
          <w:szCs w:val="32"/>
          <w:highlight w:val="none"/>
        </w:rPr>
        <w:t>万元，占政府采购支出总额的</w:t>
      </w:r>
      <w:r>
        <w:rPr>
          <w:rFonts w:hint="eastAsia" w:ascii="仿宋_GB2312" w:hAnsi="仿宋_GB2312" w:cs="仿宋_GB2312"/>
          <w:color w:val="auto"/>
          <w:sz w:val="32"/>
          <w:szCs w:val="32"/>
          <w:highlight w:val="none"/>
          <w:lang w:val="en-US" w:eastAsia="zh-CN"/>
        </w:rPr>
        <w:t>100</w:t>
      </w:r>
      <w:r>
        <w:rPr>
          <w:rFonts w:hint="eastAsia" w:ascii="仿宋_GB2312" w:hAnsi="仿宋_GB2312" w:eastAsia="仿宋_GB2312" w:cs="仿宋_GB2312"/>
          <w:color w:val="auto"/>
          <w:sz w:val="32"/>
          <w:szCs w:val="32"/>
          <w:highlight w:val="none"/>
        </w:rPr>
        <w:t>%。</w:t>
      </w:r>
    </w:p>
    <w:p>
      <w:pPr>
        <w:autoSpaceDE w:val="0"/>
        <w:autoSpaceDN w:val="0"/>
        <w:adjustRightInd w:val="0"/>
        <w:spacing w:line="600" w:lineRule="exact"/>
        <w:ind w:firstLine="643" w:firstLineChars="200"/>
        <w:jc w:val="left"/>
        <w:outlineLvl w:val="2"/>
        <w:rPr>
          <w:rFonts w:hint="eastAsia" w:ascii="仿宋_GB2312" w:hAnsi="仿宋_GB2312" w:eastAsia="仿宋_GB2312" w:cs="仿宋_GB2312"/>
          <w:b/>
          <w:color w:val="000000"/>
          <w:sz w:val="32"/>
          <w:szCs w:val="32"/>
        </w:rPr>
      </w:pPr>
      <w:bookmarkStart w:id="50" w:name="_Toc15377224"/>
      <w:r>
        <w:rPr>
          <w:rFonts w:hint="eastAsia" w:ascii="仿宋_GB2312" w:hAnsi="仿宋_GB2312" w:eastAsia="仿宋_GB2312" w:cs="仿宋_GB2312"/>
          <w:b/>
          <w:color w:val="000000"/>
          <w:sz w:val="32"/>
          <w:szCs w:val="32"/>
        </w:rPr>
        <w:t>（三）国有资产占有使用情况</w:t>
      </w:r>
      <w:bookmarkEnd w:id="50"/>
    </w:p>
    <w:p>
      <w:pPr>
        <w:autoSpaceDE w:val="0"/>
        <w:autoSpaceDN w:val="0"/>
        <w:adjustRightInd w:val="0"/>
        <w:spacing w:line="600" w:lineRule="exact"/>
        <w:ind w:firstLine="640" w:firstLineChars="200"/>
        <w:jc w:val="lef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截至20</w:t>
      </w:r>
      <w:r>
        <w:rPr>
          <w:rFonts w:hint="eastAsia" w:ascii="仿宋_GB2312" w:hAnsi="仿宋_GB2312" w:eastAsia="仿宋_GB2312" w:cs="仿宋_GB2312"/>
          <w:color w:val="auto"/>
          <w:sz w:val="32"/>
          <w:szCs w:val="32"/>
          <w:highlight w:val="none"/>
          <w:lang w:val="en-US" w:eastAsia="zh-CN"/>
        </w:rPr>
        <w:t>22</w:t>
      </w:r>
      <w:r>
        <w:rPr>
          <w:rFonts w:hint="eastAsia" w:ascii="仿宋_GB2312" w:hAnsi="仿宋_GB2312" w:eastAsia="仿宋_GB2312" w:cs="仿宋_GB2312"/>
          <w:color w:val="auto"/>
          <w:sz w:val="32"/>
          <w:szCs w:val="32"/>
          <w:highlight w:val="none"/>
        </w:rPr>
        <w:t>年12月31日，</w:t>
      </w:r>
      <w:r>
        <w:rPr>
          <w:rFonts w:hint="eastAsia" w:ascii="仿宋_GB2312" w:hAnsi="仿宋_GB2312" w:cs="仿宋_GB2312"/>
          <w:color w:val="auto"/>
          <w:sz w:val="32"/>
          <w:szCs w:val="32"/>
          <w:highlight w:val="none"/>
          <w:lang w:eastAsia="zh-CN"/>
        </w:rPr>
        <w:t>自贡市沿滩区人民检察院</w:t>
      </w:r>
      <w:r>
        <w:rPr>
          <w:rFonts w:hint="eastAsia" w:ascii="仿宋_GB2312" w:hAnsi="仿宋_GB2312" w:eastAsia="仿宋_GB2312" w:cs="仿宋_GB2312"/>
          <w:color w:val="auto"/>
          <w:sz w:val="32"/>
          <w:szCs w:val="32"/>
          <w:highlight w:val="none"/>
        </w:rPr>
        <w:t>共有车辆</w:t>
      </w:r>
      <w:r>
        <w:rPr>
          <w:rFonts w:hint="eastAsia" w:ascii="仿宋_GB2312" w:hAnsi="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辆，其中：</w:t>
      </w:r>
      <w:r>
        <w:rPr>
          <w:rFonts w:hint="eastAsia" w:ascii="仿宋_GB2312" w:hAnsi="仿宋_GB2312" w:eastAsia="仿宋_GB2312" w:cs="仿宋_GB2312"/>
          <w:sz w:val="32"/>
          <w:szCs w:val="32"/>
        </w:rPr>
        <w:t>执法执勤用车6辆、特种专业技术用车3辆。主要是用于办案、开会、汇报工作等公务出行。</w:t>
      </w:r>
      <w:r>
        <w:rPr>
          <w:rFonts w:hint="eastAsia" w:ascii="仿宋_GB2312" w:hAnsi="仿宋_GB2312" w:eastAsia="仿宋_GB2312" w:cs="仿宋_GB2312"/>
          <w:color w:val="auto"/>
          <w:sz w:val="32"/>
          <w:szCs w:val="32"/>
          <w:highlight w:val="none"/>
        </w:rPr>
        <w:t>单价100万元以上专用设备</w:t>
      </w:r>
      <w:r>
        <w:rPr>
          <w:rFonts w:hint="eastAsia" w:ascii="仿宋_GB2312" w:hAnsi="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台（套）。</w:t>
      </w:r>
    </w:p>
    <w:p>
      <w:pPr>
        <w:autoSpaceDE w:val="0"/>
        <w:autoSpaceDN w:val="0"/>
        <w:adjustRightInd w:val="0"/>
        <w:spacing w:line="600" w:lineRule="exact"/>
        <w:ind w:firstLine="643" w:firstLineChars="200"/>
        <w:jc w:val="left"/>
        <w:outlineLvl w:val="2"/>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（四）预算绩效管理情况。</w:t>
      </w:r>
    </w:p>
    <w:p>
      <w:pPr>
        <w:widowControl/>
        <w:ind w:firstLine="640" w:firstLineChars="200"/>
        <w:jc w:val="lef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根据预算绩效管理要求，本部门在202</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年度预算编制阶段，组织对沿滩检察院办案用房和专业技术用房信息化建设项目等</w:t>
      </w:r>
      <w:r>
        <w:rPr>
          <w:rFonts w:hint="eastAsia" w:ascii="仿宋_GB2312" w:hAnsi="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个项目开展了预算事前绩效评估，对</w:t>
      </w:r>
      <w:r>
        <w:rPr>
          <w:rFonts w:hint="eastAsia" w:ascii="仿宋_GB2312" w:hAnsi="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个项目编制了绩效目标，预算执行过程中，选取</w:t>
      </w:r>
      <w:r>
        <w:rPr>
          <w:rFonts w:hint="eastAsia" w:ascii="仿宋_GB2312" w:hAnsi="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个项目开展绩效监控。</w:t>
      </w:r>
    </w:p>
    <w:p>
      <w:pPr>
        <w:pStyle w:val="11"/>
        <w:ind w:left="0" w:leftChars="0"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组织对2022年度一般公共预算、政府性基金预算、国有资本经营预算、社会保险基金预算</w:t>
      </w:r>
      <w:bookmarkStart w:id="84" w:name="_GoBack"/>
      <w:bookmarkEnd w:id="84"/>
      <w:r>
        <w:rPr>
          <w:rFonts w:hint="eastAsia" w:ascii="仿宋_GB2312" w:hAnsi="仿宋_GB2312" w:eastAsia="仿宋_GB2312" w:cs="仿宋_GB2312"/>
          <w:color w:val="auto"/>
          <w:sz w:val="32"/>
          <w:szCs w:val="32"/>
          <w:highlight w:val="none"/>
        </w:rPr>
        <w:t>以及资本资产、债券资金等全面开展绩效自评，形成</w:t>
      </w:r>
      <w:r>
        <w:rPr>
          <w:rFonts w:hint="eastAsia" w:ascii="仿宋_GB2312" w:hAnsi="仿宋_GB2312" w:cs="仿宋_GB2312"/>
          <w:color w:val="auto"/>
          <w:sz w:val="32"/>
          <w:szCs w:val="32"/>
          <w:highlight w:val="none"/>
          <w:lang w:eastAsia="zh-CN"/>
        </w:rPr>
        <w:t>自贡市沿滩区人民检察院</w:t>
      </w:r>
      <w:r>
        <w:rPr>
          <w:rFonts w:hint="eastAsia" w:ascii="仿宋_GB2312" w:hAnsi="仿宋_GB2312" w:eastAsia="仿宋_GB2312" w:cs="仿宋_GB2312"/>
          <w:color w:val="auto"/>
          <w:sz w:val="32"/>
          <w:szCs w:val="32"/>
          <w:highlight w:val="none"/>
        </w:rPr>
        <w:t>部门整体（含部门预算项目）绩效自评报告、沿滩检察院办案用房和专业技术用房信息化建设项目专项预算项目绩效自评报告，其中，</w:t>
      </w:r>
      <w:r>
        <w:rPr>
          <w:rFonts w:hint="eastAsia" w:ascii="仿宋_GB2312" w:hAnsi="仿宋_GB2312" w:cs="仿宋_GB2312"/>
          <w:color w:val="auto"/>
          <w:sz w:val="32"/>
          <w:szCs w:val="32"/>
          <w:highlight w:val="none"/>
          <w:lang w:eastAsia="zh-CN"/>
        </w:rPr>
        <w:t>自贡市沿滩区人民检察院</w:t>
      </w:r>
      <w:r>
        <w:rPr>
          <w:rFonts w:hint="eastAsia" w:ascii="仿宋_GB2312" w:hAnsi="仿宋_GB2312" w:eastAsia="仿宋_GB2312" w:cs="仿宋_GB2312"/>
          <w:color w:val="auto"/>
          <w:sz w:val="32"/>
          <w:szCs w:val="32"/>
          <w:highlight w:val="none"/>
        </w:rPr>
        <w:t>部门整体（含部门预算项目）绩效自评得分为</w:t>
      </w:r>
      <w:r>
        <w:rPr>
          <w:rFonts w:hint="eastAsia" w:ascii="仿宋_GB2312" w:hAnsi="仿宋_GB2312" w:cs="仿宋_GB2312"/>
          <w:color w:val="auto"/>
          <w:sz w:val="32"/>
          <w:szCs w:val="32"/>
          <w:highlight w:val="none"/>
          <w:lang w:val="en-US" w:eastAsia="zh-CN"/>
        </w:rPr>
        <w:t>96</w:t>
      </w:r>
      <w:r>
        <w:rPr>
          <w:rFonts w:hint="eastAsia" w:ascii="仿宋_GB2312" w:hAnsi="仿宋_GB2312" w:eastAsia="仿宋_GB2312" w:cs="仿宋_GB2312"/>
          <w:color w:val="auto"/>
          <w:sz w:val="32"/>
          <w:szCs w:val="32"/>
          <w:highlight w:val="none"/>
        </w:rPr>
        <w:t>分，绩效自评综述：</w:t>
      </w:r>
      <w:r>
        <w:rPr>
          <w:rFonts w:hint="eastAsia" w:ascii="Times New Roman" w:hAnsi="Times New Roman" w:eastAsia="仿宋_GB2312" w:cs="Times New Roman"/>
          <w:color w:val="000000"/>
          <w:kern w:val="0"/>
          <w:sz w:val="32"/>
          <w:szCs w:val="32"/>
          <w:highlight w:val="none"/>
          <w:shd w:val="clear" w:color="auto" w:fill="FFFFFF"/>
          <w:lang w:val="zh-CN"/>
        </w:rPr>
        <w:t>自绩效管理工作开展以来，我院领导对绩效管理工作高度重视。通过合理设置机构，建立健全制度，建立考核体系，合理量化指标，完善考核办法，突出绩效重点，公平、公开、公正的实施考核等工作措施，绩效管理工作整体推进平稳、顺利，运行情况良好</w:t>
      </w:r>
      <w:r>
        <w:rPr>
          <w:rFonts w:hint="eastAsia" w:ascii="仿宋_GB2312" w:hAnsi="仿宋_GB2312" w:eastAsia="仿宋_GB2312" w:cs="仿宋_GB2312"/>
          <w:color w:val="auto"/>
          <w:sz w:val="32"/>
          <w:szCs w:val="32"/>
          <w:highlight w:val="none"/>
        </w:rPr>
        <w:t>；</w:t>
      </w:r>
      <w:r>
        <w:rPr>
          <w:rFonts w:hint="eastAsia" w:cs="仿宋_GB2312"/>
          <w:kern w:val="2"/>
          <w:sz w:val="32"/>
          <w:szCs w:val="24"/>
          <w:lang w:val="en-US" w:eastAsia="zh-CN" w:bidi="ar"/>
        </w:rPr>
        <w:t>沿滩检察院办案用房和专业技术用房信息化建设</w:t>
      </w:r>
      <w:r>
        <w:rPr>
          <w:rFonts w:hint="eastAsia" w:ascii="仿宋_GB2312" w:hAnsi="仿宋_GB2312" w:eastAsia="仿宋_GB2312" w:cs="仿宋_GB2312"/>
          <w:color w:val="auto"/>
          <w:sz w:val="32"/>
          <w:szCs w:val="32"/>
          <w:highlight w:val="none"/>
        </w:rPr>
        <w:t>专项预算项目绩效自评得分为</w:t>
      </w:r>
      <w:r>
        <w:rPr>
          <w:rFonts w:hint="eastAsia" w:ascii="仿宋_GB2312" w:hAnsi="仿宋_GB2312" w:cs="仿宋_GB2312"/>
          <w:color w:val="auto"/>
          <w:sz w:val="32"/>
          <w:szCs w:val="32"/>
          <w:highlight w:val="none"/>
          <w:lang w:val="en-US" w:eastAsia="zh-CN"/>
        </w:rPr>
        <w:t>91</w:t>
      </w:r>
      <w:r>
        <w:rPr>
          <w:rFonts w:hint="eastAsia" w:ascii="仿宋_GB2312" w:hAnsi="仿宋_GB2312" w:eastAsia="仿宋_GB2312" w:cs="仿宋_GB2312"/>
          <w:color w:val="auto"/>
          <w:sz w:val="32"/>
          <w:szCs w:val="32"/>
          <w:highlight w:val="none"/>
        </w:rPr>
        <w:t>分，绩效自评综述：</w:t>
      </w:r>
      <w:r>
        <w:rPr>
          <w:rFonts w:hint="eastAsia" w:ascii="仿宋_GB2312" w:hAnsi="仿宋_GB2312" w:cs="仿宋_GB2312"/>
          <w:color w:val="auto"/>
          <w:sz w:val="32"/>
          <w:szCs w:val="32"/>
          <w:highlight w:val="none"/>
          <w:lang w:eastAsia="zh-CN"/>
        </w:rPr>
        <w:t>该项目较好达到预定目标，项目完成情况和项目效益情况良好，资金计划和使用情况合理正常，组织实施有序，但也存在精细化程度不够的问题</w:t>
      </w:r>
      <w:r>
        <w:rPr>
          <w:rFonts w:hint="eastAsia" w:ascii="仿宋_GB2312" w:hAnsi="仿宋_GB2312" w:eastAsia="仿宋_GB2312" w:cs="仿宋_GB2312"/>
          <w:color w:val="auto"/>
          <w:sz w:val="32"/>
          <w:szCs w:val="32"/>
          <w:highlight w:val="none"/>
        </w:rPr>
        <w:t>。绩效自评报告详见附件。</w:t>
      </w:r>
    </w:p>
    <w:p>
      <w:pPr>
        <w:pStyle w:val="11"/>
        <w:ind w:left="0" w:leftChars="0" w:firstLine="643" w:firstLineChars="200"/>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br w:type="page"/>
      </w:r>
    </w:p>
    <w:p>
      <w:pPr>
        <w:numPr>
          <w:ilvl w:val="0"/>
          <w:numId w:val="4"/>
        </w:numPr>
        <w:spacing w:line="600" w:lineRule="exact"/>
        <w:ind w:firstLine="660" w:firstLineChars="150"/>
        <w:jc w:val="center"/>
        <w:outlineLvl w:val="0"/>
        <w:rPr>
          <w:rStyle w:val="16"/>
          <w:rFonts w:ascii="黑体" w:hAnsi="黑体" w:eastAsia="黑体"/>
          <w:b w:val="0"/>
        </w:rPr>
      </w:pPr>
      <w:bookmarkStart w:id="51" w:name="_Toc15377225"/>
      <w:bookmarkStart w:id="52" w:name="_Toc867690078"/>
      <w:bookmarkStart w:id="53" w:name="_Toc15396613"/>
      <w:r>
        <w:rPr>
          <w:rFonts w:hint="eastAsia" w:ascii="黑体" w:hAnsi="黑体" w:eastAsia="黑体"/>
          <w:color w:val="000000"/>
          <w:sz w:val="44"/>
          <w:szCs w:val="44"/>
        </w:rPr>
        <w:t>名</w:t>
      </w:r>
      <w:r>
        <w:rPr>
          <w:rStyle w:val="16"/>
          <w:rFonts w:hint="eastAsia" w:ascii="黑体" w:hAnsi="黑体" w:eastAsia="黑体"/>
          <w:b w:val="0"/>
        </w:rPr>
        <w:t>词解释</w:t>
      </w:r>
      <w:bookmarkEnd w:id="51"/>
      <w:bookmarkEnd w:id="52"/>
      <w:bookmarkEnd w:id="53"/>
    </w:p>
    <w:p>
      <w:pPr>
        <w:spacing w:line="600" w:lineRule="exact"/>
        <w:jc w:val="left"/>
        <w:rPr>
          <w:rFonts w:ascii="宋体"/>
          <w:b/>
          <w:color w:val="000000"/>
          <w:sz w:val="44"/>
          <w:szCs w:val="44"/>
        </w:rPr>
      </w:pPr>
    </w:p>
    <w:p>
      <w:pPr>
        <w:pStyle w:val="19"/>
        <w:spacing w:line="560" w:lineRule="exact"/>
        <w:ind w:firstLine="640" w:firstLineChars="200"/>
        <w:rPr>
          <w:rFonts w:ascii="仿宋_GB2312" w:eastAsia="仿宋_GB2312"/>
          <w:color w:val="auto"/>
          <w:sz w:val="32"/>
          <w:szCs w:val="32"/>
          <w:highlight w:val="none"/>
        </w:rPr>
      </w:pPr>
      <w:bookmarkStart w:id="54" w:name="_Toc15377226"/>
      <w:r>
        <w:rPr>
          <w:rFonts w:ascii="仿宋_GB2312" w:eastAsia="仿宋_GB2312"/>
          <w:color w:val="auto"/>
          <w:sz w:val="32"/>
          <w:szCs w:val="32"/>
          <w:highlight w:val="none"/>
        </w:rPr>
        <w:t>1.</w:t>
      </w:r>
      <w:r>
        <w:rPr>
          <w:rFonts w:hint="eastAsia" w:ascii="仿宋_GB2312" w:eastAsia="仿宋_GB2312"/>
          <w:color w:val="auto"/>
          <w:sz w:val="32"/>
          <w:szCs w:val="32"/>
          <w:highlight w:val="none"/>
        </w:rPr>
        <w:t>财政拨款收入：指单位从同级财政部门取得的财政预算资金。</w:t>
      </w:r>
    </w:p>
    <w:p>
      <w:pPr>
        <w:pStyle w:val="19"/>
        <w:spacing w:line="560" w:lineRule="exact"/>
        <w:ind w:firstLine="640" w:firstLineChars="200"/>
        <w:rPr>
          <w:rFonts w:hint="eastAsia" w:ascii="仿宋_GB2312" w:eastAsia="仿宋_GB2312"/>
          <w:color w:val="auto"/>
          <w:sz w:val="32"/>
          <w:szCs w:val="32"/>
          <w:highlight w:val="none"/>
        </w:rPr>
      </w:pPr>
      <w:r>
        <w:rPr>
          <w:rFonts w:ascii="仿宋_GB2312" w:eastAsia="仿宋_GB2312"/>
          <w:color w:val="auto"/>
          <w:sz w:val="32"/>
          <w:szCs w:val="32"/>
          <w:highlight w:val="none"/>
        </w:rPr>
        <w:t>2.</w:t>
      </w:r>
      <w:r>
        <w:rPr>
          <w:rFonts w:hint="eastAsia" w:ascii="仿宋_GB2312" w:eastAsia="仿宋_GB2312"/>
          <w:color w:val="auto"/>
          <w:sz w:val="32"/>
          <w:szCs w:val="32"/>
          <w:highlight w:val="none"/>
        </w:rPr>
        <w:t>事业收入：指事业单位开展专业业务活动及辅助活动取得的收入。</w:t>
      </w:r>
    </w:p>
    <w:p>
      <w:pPr>
        <w:pStyle w:val="19"/>
        <w:spacing w:line="560" w:lineRule="exact"/>
        <w:ind w:firstLine="640" w:firstLineChars="200"/>
        <w:rPr>
          <w:rFonts w:hint="eastAsia" w:ascii="仿宋_GB2312" w:eastAsia="仿宋_GB2312"/>
          <w:color w:val="auto"/>
          <w:sz w:val="32"/>
          <w:szCs w:val="32"/>
          <w:highlight w:val="none"/>
        </w:rPr>
      </w:pPr>
      <w:r>
        <w:rPr>
          <w:rFonts w:ascii="仿宋_GB2312" w:eastAsia="仿宋_GB2312"/>
          <w:color w:val="auto"/>
          <w:sz w:val="32"/>
          <w:szCs w:val="32"/>
          <w:highlight w:val="none"/>
        </w:rPr>
        <w:t>3.</w:t>
      </w:r>
      <w:r>
        <w:rPr>
          <w:rFonts w:hint="eastAsia" w:ascii="仿宋_GB2312" w:eastAsia="仿宋_GB2312"/>
          <w:color w:val="auto"/>
          <w:sz w:val="32"/>
          <w:szCs w:val="32"/>
          <w:highlight w:val="none"/>
        </w:rPr>
        <w:t>经营收入：指事业单位在专业业务活动及其辅助活动之外开展非独立核算经营活动取得的收入。</w:t>
      </w:r>
    </w:p>
    <w:p>
      <w:pPr>
        <w:pStyle w:val="19"/>
        <w:spacing w:line="560" w:lineRule="exact"/>
        <w:ind w:firstLine="640" w:firstLineChars="200"/>
        <w:rPr>
          <w:rFonts w:ascii="仿宋_GB2312" w:eastAsia="仿宋_GB2312"/>
          <w:color w:val="auto"/>
          <w:sz w:val="32"/>
          <w:szCs w:val="32"/>
          <w:highlight w:val="none"/>
        </w:rPr>
      </w:pPr>
      <w:r>
        <w:rPr>
          <w:rFonts w:ascii="仿宋_GB2312" w:eastAsia="仿宋_GB2312"/>
          <w:color w:val="auto"/>
          <w:sz w:val="32"/>
          <w:szCs w:val="32"/>
          <w:highlight w:val="none"/>
        </w:rPr>
        <w:t>4.</w:t>
      </w:r>
      <w:r>
        <w:rPr>
          <w:rFonts w:hint="eastAsia" w:ascii="仿宋_GB2312" w:eastAsia="仿宋_GB2312"/>
          <w:color w:val="auto"/>
          <w:sz w:val="32"/>
          <w:szCs w:val="32"/>
          <w:highlight w:val="none"/>
        </w:rPr>
        <w:t>其他收入：指单位取得的除上述收入以外的各项收入。</w:t>
      </w:r>
    </w:p>
    <w:p>
      <w:pPr>
        <w:pStyle w:val="19"/>
        <w:spacing w:line="560" w:lineRule="exact"/>
        <w:ind w:firstLine="640" w:firstLineChars="200"/>
        <w:rPr>
          <w:rFonts w:ascii="仿宋_GB2312" w:eastAsia="仿宋_GB2312"/>
          <w:color w:val="auto"/>
          <w:sz w:val="32"/>
          <w:szCs w:val="32"/>
          <w:highlight w:val="none"/>
        </w:rPr>
      </w:pPr>
      <w:r>
        <w:rPr>
          <w:rFonts w:ascii="仿宋_GB2312" w:eastAsia="仿宋_GB2312"/>
          <w:color w:val="auto"/>
          <w:sz w:val="32"/>
          <w:szCs w:val="32"/>
          <w:highlight w:val="none"/>
        </w:rPr>
        <w:t>5.</w:t>
      </w:r>
      <w:r>
        <w:rPr>
          <w:rFonts w:hint="eastAsia" w:ascii="仿宋_GB2312" w:eastAsia="仿宋_GB2312"/>
          <w:color w:val="auto"/>
          <w:sz w:val="32"/>
          <w:szCs w:val="32"/>
          <w:highlight w:val="none"/>
          <w:lang w:eastAsia="zh-CN"/>
        </w:rPr>
        <w:t>使用非财政拨款结余</w:t>
      </w:r>
      <w:r>
        <w:rPr>
          <w:rFonts w:hint="eastAsia" w:ascii="仿宋_GB2312" w:eastAsia="仿宋_GB2312"/>
          <w:color w:val="auto"/>
          <w:sz w:val="32"/>
          <w:szCs w:val="32"/>
          <w:highlight w:val="none"/>
        </w:rPr>
        <w:t>：指事业单位</w:t>
      </w:r>
      <w:r>
        <w:rPr>
          <w:rFonts w:hint="eastAsia" w:ascii="仿宋_GB2312" w:eastAsia="仿宋_GB2312"/>
          <w:color w:val="auto"/>
          <w:sz w:val="32"/>
          <w:szCs w:val="32"/>
          <w:highlight w:val="none"/>
          <w:lang w:eastAsia="zh-CN"/>
        </w:rPr>
        <w:t>使用以前年度积累的非财政拨款结余弥补当年收支差额的金额。</w:t>
      </w:r>
      <w:r>
        <w:rPr>
          <w:rFonts w:ascii="仿宋_GB2312" w:eastAsia="仿宋_GB2312"/>
          <w:color w:val="auto"/>
          <w:sz w:val="32"/>
          <w:szCs w:val="32"/>
          <w:highlight w:val="none"/>
        </w:rPr>
        <w:t xml:space="preserve"> </w:t>
      </w:r>
    </w:p>
    <w:p>
      <w:pPr>
        <w:pStyle w:val="19"/>
        <w:spacing w:line="560" w:lineRule="exact"/>
        <w:ind w:firstLine="640" w:firstLineChars="200"/>
        <w:rPr>
          <w:rFonts w:ascii="仿宋_GB2312" w:eastAsia="仿宋_GB2312"/>
          <w:color w:val="auto"/>
          <w:sz w:val="32"/>
          <w:szCs w:val="32"/>
          <w:highlight w:val="none"/>
        </w:rPr>
      </w:pPr>
      <w:r>
        <w:rPr>
          <w:rFonts w:ascii="仿宋_GB2312" w:eastAsia="仿宋_GB2312"/>
          <w:color w:val="auto"/>
          <w:sz w:val="32"/>
          <w:szCs w:val="32"/>
          <w:highlight w:val="none"/>
        </w:rPr>
        <w:t>6.</w:t>
      </w:r>
      <w:r>
        <w:rPr>
          <w:rFonts w:hint="eastAsia" w:ascii="仿宋_GB2312" w:eastAsia="仿宋_GB2312"/>
          <w:color w:val="auto"/>
          <w:sz w:val="32"/>
          <w:szCs w:val="32"/>
          <w:highlight w:val="none"/>
        </w:rPr>
        <w:t>年初结转和结余：指以前年度尚未完成、结转到本年按有关规定继续使用的资金。</w:t>
      </w:r>
      <w:r>
        <w:rPr>
          <w:rFonts w:ascii="仿宋_GB2312" w:eastAsia="仿宋_GB2312"/>
          <w:color w:val="auto"/>
          <w:sz w:val="32"/>
          <w:szCs w:val="32"/>
          <w:highlight w:val="none"/>
        </w:rPr>
        <w:t xml:space="preserve"> </w:t>
      </w:r>
    </w:p>
    <w:p>
      <w:pPr>
        <w:pStyle w:val="19"/>
        <w:spacing w:line="560" w:lineRule="exact"/>
        <w:ind w:firstLine="640" w:firstLineChars="200"/>
        <w:rPr>
          <w:rFonts w:ascii="仿宋_GB2312" w:eastAsia="仿宋_GB2312"/>
          <w:color w:val="auto"/>
          <w:sz w:val="32"/>
          <w:szCs w:val="32"/>
          <w:highlight w:val="none"/>
        </w:rPr>
      </w:pPr>
      <w:r>
        <w:rPr>
          <w:rFonts w:ascii="仿宋_GB2312" w:eastAsia="仿宋_GB2312"/>
          <w:color w:val="auto"/>
          <w:sz w:val="32"/>
          <w:szCs w:val="32"/>
          <w:highlight w:val="none"/>
        </w:rPr>
        <w:t>7.</w:t>
      </w:r>
      <w:r>
        <w:rPr>
          <w:rFonts w:hint="eastAsia" w:ascii="仿宋_GB2312" w:eastAsia="仿宋_GB2312"/>
          <w:color w:val="auto"/>
          <w:sz w:val="32"/>
          <w:szCs w:val="32"/>
          <w:highlight w:val="none"/>
        </w:rPr>
        <w:t>结余分配：指事业单位按照会计制度规定</w:t>
      </w:r>
      <w:r>
        <w:rPr>
          <w:rFonts w:hint="eastAsia" w:ascii="仿宋_GB2312" w:eastAsia="仿宋_GB2312"/>
          <w:color w:val="auto"/>
          <w:sz w:val="32"/>
          <w:szCs w:val="32"/>
          <w:highlight w:val="none"/>
          <w:lang w:eastAsia="zh-CN"/>
        </w:rPr>
        <w:t>缴纳的所得税、提取的专用结余以及转入非财政拨款结余的金额</w:t>
      </w:r>
      <w:r>
        <w:rPr>
          <w:rFonts w:hint="eastAsia" w:ascii="仿宋_GB2312" w:eastAsia="仿宋_GB2312"/>
          <w:color w:val="auto"/>
          <w:sz w:val="32"/>
          <w:szCs w:val="32"/>
          <w:highlight w:val="none"/>
        </w:rPr>
        <w:t>等。</w:t>
      </w:r>
    </w:p>
    <w:p>
      <w:pPr>
        <w:pStyle w:val="19"/>
        <w:spacing w:line="560" w:lineRule="exact"/>
        <w:ind w:firstLine="640" w:firstLineChars="200"/>
        <w:rPr>
          <w:rFonts w:ascii="仿宋_GB2312" w:eastAsia="仿宋_GB2312"/>
          <w:color w:val="auto"/>
          <w:sz w:val="32"/>
          <w:szCs w:val="32"/>
          <w:highlight w:val="none"/>
        </w:rPr>
      </w:pPr>
      <w:r>
        <w:rPr>
          <w:rFonts w:ascii="仿宋_GB2312" w:eastAsia="仿宋_GB2312"/>
          <w:color w:val="auto"/>
          <w:sz w:val="32"/>
          <w:szCs w:val="32"/>
          <w:highlight w:val="none"/>
        </w:rPr>
        <w:t>8</w:t>
      </w:r>
      <w:r>
        <w:rPr>
          <w:rFonts w:hint="eastAsia" w:ascii="仿宋_GB2312" w:eastAsia="仿宋_GB2312"/>
          <w:color w:val="auto"/>
          <w:sz w:val="32"/>
          <w:szCs w:val="32"/>
          <w:highlight w:val="none"/>
          <w:lang w:val="en-US" w:eastAsia="zh-CN"/>
        </w:rPr>
        <w:t>.</w:t>
      </w:r>
      <w:r>
        <w:rPr>
          <w:rFonts w:hint="eastAsia" w:ascii="仿宋_GB2312" w:eastAsia="仿宋_GB2312"/>
          <w:color w:val="auto"/>
          <w:sz w:val="32"/>
          <w:szCs w:val="32"/>
          <w:highlight w:val="none"/>
        </w:rPr>
        <w:t>年末结转和结余：指单位按有关规定结转到下年或以后年度继续使用的资金。</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9.公共安全支出（类）检察（款）行政运行（项）：</w:t>
      </w:r>
      <w:r>
        <w:rPr>
          <w:rFonts w:hint="eastAsia" w:ascii="仿宋_GB2312" w:eastAsia="仿宋_GB2312"/>
          <w:color w:val="000000"/>
          <w:sz w:val="32"/>
          <w:szCs w:val="32"/>
        </w:rPr>
        <w:t>指反映行政单位（包括实行公务员管理的事业单位）的基本支出</w:t>
      </w:r>
      <w:r>
        <w:rPr>
          <w:rFonts w:hint="eastAsia" w:ascii="仿宋_GB2312" w:hAnsi="仿宋_GB2312" w:eastAsia="仿宋_GB2312" w:cs="仿宋_GB2312"/>
          <w:sz w:val="32"/>
          <w:szCs w:val="32"/>
        </w:rPr>
        <w:t>。</w:t>
      </w:r>
    </w:p>
    <w:p>
      <w:pPr>
        <w:spacing w:line="560" w:lineRule="exact"/>
        <w:ind w:firstLine="640" w:firstLineChars="200"/>
        <w:rPr>
          <w:rFonts w:hint="eastAsia" w:ascii="仿宋" w:hAnsi="仿宋" w:eastAsia="仿宋"/>
          <w:color w:val="000000"/>
          <w:sz w:val="32"/>
          <w:szCs w:val="32"/>
        </w:rPr>
      </w:pPr>
      <w:r>
        <w:rPr>
          <w:rFonts w:hint="eastAsia" w:ascii="仿宋_GB2312" w:hAnsi="仿宋_GB2312" w:eastAsia="仿宋_GB2312" w:cs="仿宋_GB2312"/>
          <w:sz w:val="32"/>
          <w:szCs w:val="32"/>
        </w:rPr>
        <w:t>10.</w:t>
      </w:r>
      <w:r>
        <w:rPr>
          <w:rFonts w:hint="eastAsia" w:ascii="仿宋_GB2312" w:eastAsia="仿宋_GB2312"/>
          <w:color w:val="000000"/>
          <w:sz w:val="32"/>
          <w:szCs w:val="32"/>
        </w:rPr>
        <w:t>公共安全支出</w:t>
      </w:r>
      <w:r>
        <w:rPr>
          <w:rFonts w:hint="eastAsia" w:ascii="仿宋" w:hAnsi="仿宋" w:eastAsia="仿宋"/>
          <w:color w:val="000000"/>
          <w:sz w:val="32"/>
          <w:szCs w:val="32"/>
        </w:rPr>
        <w:t>（类）</w:t>
      </w:r>
      <w:r>
        <w:rPr>
          <w:rFonts w:hint="eastAsia" w:ascii="仿宋_GB2312" w:eastAsia="仿宋_GB2312"/>
          <w:color w:val="000000"/>
          <w:sz w:val="32"/>
          <w:szCs w:val="32"/>
        </w:rPr>
        <w:t>检察</w:t>
      </w:r>
      <w:r>
        <w:rPr>
          <w:rFonts w:hint="eastAsia" w:ascii="仿宋" w:hAnsi="仿宋" w:eastAsia="仿宋"/>
          <w:color w:val="000000"/>
          <w:sz w:val="32"/>
          <w:szCs w:val="32"/>
        </w:rPr>
        <w:t>（款）</w:t>
      </w:r>
      <w:r>
        <w:rPr>
          <w:rFonts w:hint="eastAsia" w:ascii="仿宋_GB2312" w:eastAsia="仿宋_GB2312"/>
          <w:color w:val="000000"/>
          <w:sz w:val="32"/>
          <w:szCs w:val="32"/>
        </w:rPr>
        <w:t>一般行政管理事务</w:t>
      </w:r>
      <w:r>
        <w:rPr>
          <w:rFonts w:hint="eastAsia" w:ascii="仿宋" w:hAnsi="仿宋" w:eastAsia="仿宋"/>
          <w:color w:val="000000"/>
          <w:sz w:val="32"/>
          <w:szCs w:val="32"/>
        </w:rPr>
        <w:t>（项）：</w:t>
      </w:r>
      <w:r>
        <w:rPr>
          <w:rFonts w:hint="eastAsia" w:ascii="仿宋_GB2312" w:eastAsia="仿宋_GB2312"/>
          <w:color w:val="000000"/>
          <w:sz w:val="32"/>
          <w:szCs w:val="32"/>
        </w:rPr>
        <w:t>指反映行政单位（包括实行公务员管理的事业单位）未单独设置项级科目的其他项目支出</w:t>
      </w:r>
      <w:r>
        <w:rPr>
          <w:rFonts w:hint="eastAsia" w:ascii="仿宋" w:hAnsi="仿宋" w:eastAsia="仿宋"/>
          <w:color w:val="000000"/>
          <w:sz w:val="32"/>
          <w:szCs w:val="32"/>
        </w:rPr>
        <w:t>。</w:t>
      </w:r>
    </w:p>
    <w:p>
      <w:pPr>
        <w:spacing w:line="560" w:lineRule="exact"/>
        <w:ind w:firstLine="640" w:firstLineChars="200"/>
      </w:pPr>
      <w:r>
        <w:rPr>
          <w:rFonts w:hint="eastAsia" w:ascii="仿宋_GB2312" w:hAnsi="仿宋_GB2312" w:eastAsia="仿宋_GB2312" w:cs="仿宋_GB2312"/>
          <w:sz w:val="32"/>
          <w:szCs w:val="32"/>
        </w:rPr>
        <w:t>1</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rPr>
        <w:t>.</w:t>
      </w:r>
      <w:r>
        <w:rPr>
          <w:rFonts w:hint="eastAsia" w:ascii="仿宋_GB2312" w:eastAsia="仿宋_GB2312"/>
          <w:color w:val="000000"/>
          <w:sz w:val="32"/>
          <w:szCs w:val="32"/>
        </w:rPr>
        <w:t>社会保障和就业支出</w:t>
      </w:r>
      <w:r>
        <w:rPr>
          <w:rFonts w:hint="eastAsia" w:ascii="仿宋" w:hAnsi="仿宋" w:eastAsia="仿宋"/>
          <w:color w:val="000000"/>
          <w:sz w:val="32"/>
          <w:szCs w:val="32"/>
        </w:rPr>
        <w:t>（类）</w:t>
      </w:r>
      <w:r>
        <w:rPr>
          <w:rFonts w:hint="eastAsia" w:ascii="仿宋_GB2312" w:eastAsia="仿宋_GB2312"/>
          <w:color w:val="000000"/>
          <w:sz w:val="32"/>
          <w:szCs w:val="32"/>
        </w:rPr>
        <w:t>行政事业单位养老支出</w:t>
      </w:r>
      <w:r>
        <w:rPr>
          <w:rFonts w:hint="eastAsia" w:ascii="仿宋" w:hAnsi="仿宋" w:eastAsia="仿宋"/>
          <w:color w:val="000000"/>
          <w:sz w:val="32"/>
          <w:szCs w:val="32"/>
        </w:rPr>
        <w:t>（款）</w:t>
      </w:r>
      <w:r>
        <w:rPr>
          <w:rFonts w:hint="eastAsia" w:ascii="仿宋_GB2312"/>
          <w:color w:val="000000"/>
          <w:sz w:val="32"/>
          <w:szCs w:val="32"/>
          <w:lang w:eastAsia="zh-CN"/>
        </w:rPr>
        <w:t>行政单位离退休</w:t>
      </w:r>
      <w:r>
        <w:rPr>
          <w:rFonts w:hint="eastAsia" w:ascii="仿宋" w:hAnsi="仿宋" w:eastAsia="仿宋"/>
          <w:color w:val="000000"/>
          <w:sz w:val="32"/>
          <w:szCs w:val="32"/>
        </w:rPr>
        <w:t>（项）：</w:t>
      </w:r>
      <w:r>
        <w:rPr>
          <w:rFonts w:hint="eastAsia" w:ascii="仿宋_GB2312" w:eastAsia="仿宋_GB2312"/>
          <w:color w:val="000000"/>
          <w:sz w:val="32"/>
          <w:szCs w:val="32"/>
        </w:rPr>
        <w:t>指反映机关事业单位</w:t>
      </w:r>
      <w:r>
        <w:rPr>
          <w:rFonts w:hint="eastAsia" w:ascii="仿宋_GB2312"/>
          <w:color w:val="000000"/>
          <w:sz w:val="32"/>
          <w:szCs w:val="32"/>
          <w:lang w:eastAsia="zh-CN"/>
        </w:rPr>
        <w:t>用于保障退休人员开展活动的支出。</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cs="仿宋_GB2312"/>
          <w:sz w:val="32"/>
          <w:szCs w:val="32"/>
          <w:lang w:val="en-US" w:eastAsia="zh-CN"/>
        </w:rPr>
        <w:t>2</w:t>
      </w:r>
      <w:r>
        <w:rPr>
          <w:rFonts w:hint="eastAsia" w:ascii="仿宋_GB2312" w:hAnsi="仿宋_GB2312" w:eastAsia="仿宋_GB2312" w:cs="仿宋_GB2312"/>
          <w:sz w:val="32"/>
          <w:szCs w:val="32"/>
        </w:rPr>
        <w:t>.</w:t>
      </w:r>
      <w:r>
        <w:rPr>
          <w:rFonts w:hint="eastAsia" w:ascii="仿宋_GB2312" w:eastAsia="仿宋_GB2312"/>
          <w:color w:val="000000"/>
          <w:sz w:val="32"/>
          <w:szCs w:val="32"/>
        </w:rPr>
        <w:t>社会保障和就业支出</w:t>
      </w:r>
      <w:r>
        <w:rPr>
          <w:rFonts w:hint="eastAsia" w:ascii="仿宋" w:hAnsi="仿宋" w:eastAsia="仿宋"/>
          <w:color w:val="000000"/>
          <w:sz w:val="32"/>
          <w:szCs w:val="32"/>
        </w:rPr>
        <w:t>（类）</w:t>
      </w:r>
      <w:r>
        <w:rPr>
          <w:rFonts w:hint="eastAsia" w:ascii="仿宋_GB2312" w:eastAsia="仿宋_GB2312"/>
          <w:color w:val="000000"/>
          <w:sz w:val="32"/>
          <w:szCs w:val="32"/>
        </w:rPr>
        <w:t>行政事业单位养老支出</w:t>
      </w:r>
      <w:r>
        <w:rPr>
          <w:rFonts w:hint="eastAsia" w:ascii="仿宋" w:hAnsi="仿宋" w:eastAsia="仿宋"/>
          <w:color w:val="000000"/>
          <w:sz w:val="32"/>
          <w:szCs w:val="32"/>
        </w:rPr>
        <w:t>（款）</w:t>
      </w:r>
      <w:r>
        <w:rPr>
          <w:rFonts w:hint="eastAsia" w:ascii="仿宋_GB2312" w:eastAsia="仿宋_GB2312"/>
          <w:color w:val="000000"/>
          <w:sz w:val="32"/>
          <w:szCs w:val="32"/>
        </w:rPr>
        <w:t>机关事业单位基本养老保险缴费支出</w:t>
      </w:r>
      <w:r>
        <w:rPr>
          <w:rFonts w:hint="eastAsia" w:ascii="仿宋" w:hAnsi="仿宋" w:eastAsia="仿宋"/>
          <w:color w:val="000000"/>
          <w:sz w:val="32"/>
          <w:szCs w:val="32"/>
        </w:rPr>
        <w:t>（项）：</w:t>
      </w:r>
      <w:r>
        <w:rPr>
          <w:rFonts w:hint="eastAsia" w:ascii="仿宋_GB2312" w:eastAsia="仿宋_GB2312"/>
          <w:color w:val="000000"/>
          <w:sz w:val="32"/>
          <w:szCs w:val="32"/>
        </w:rPr>
        <w:t>指反映机关事业单位实施养老保险制度由单位缴纳的基本养老保险费支出</w:t>
      </w:r>
      <w:r>
        <w:rPr>
          <w:rFonts w:hint="eastAsia" w:ascii="仿宋_GB2312" w:hAnsi="仿宋_GB2312" w:eastAsia="仿宋_GB2312" w:cs="仿宋_GB2312"/>
          <w:sz w:val="32"/>
          <w:szCs w:val="32"/>
        </w:rPr>
        <w:t>。</w:t>
      </w:r>
    </w:p>
    <w:p>
      <w:pPr>
        <w:spacing w:line="560" w:lineRule="exact"/>
        <w:ind w:firstLine="640" w:firstLineChars="200"/>
        <w:rPr>
          <w:rFonts w:ascii="仿宋_GB2312" w:eastAsia="仿宋_GB2312"/>
          <w:color w:val="000000"/>
          <w:sz w:val="32"/>
          <w:szCs w:val="32"/>
        </w:rPr>
      </w:pPr>
      <w:r>
        <w:rPr>
          <w:rFonts w:hint="eastAsia" w:ascii="仿宋_GB2312" w:hAnsi="仿宋_GB2312" w:eastAsia="仿宋_GB2312" w:cs="仿宋_GB2312"/>
          <w:sz w:val="32"/>
          <w:szCs w:val="32"/>
        </w:rPr>
        <w:t>1</w:t>
      </w:r>
      <w:r>
        <w:rPr>
          <w:rFonts w:hint="eastAsia" w:ascii="仿宋_GB2312" w:hAnsi="仿宋_GB2312" w:cs="仿宋_GB2312"/>
          <w:sz w:val="32"/>
          <w:szCs w:val="32"/>
          <w:lang w:val="en-US" w:eastAsia="zh-CN"/>
        </w:rPr>
        <w:t>3</w:t>
      </w:r>
      <w:r>
        <w:rPr>
          <w:rFonts w:hint="eastAsia" w:ascii="仿宋_GB2312" w:hAnsi="仿宋_GB2312" w:eastAsia="仿宋_GB2312" w:cs="仿宋_GB2312"/>
          <w:sz w:val="32"/>
          <w:szCs w:val="32"/>
        </w:rPr>
        <w:t>.</w:t>
      </w:r>
      <w:r>
        <w:rPr>
          <w:rFonts w:hint="eastAsia" w:ascii="仿宋_GB2312" w:eastAsia="仿宋_GB2312"/>
          <w:color w:val="000000"/>
          <w:sz w:val="32"/>
          <w:szCs w:val="32"/>
        </w:rPr>
        <w:t>卫生健康支出</w:t>
      </w:r>
      <w:r>
        <w:rPr>
          <w:rFonts w:hint="eastAsia" w:ascii="仿宋" w:hAnsi="仿宋" w:eastAsia="仿宋"/>
          <w:color w:val="000000"/>
          <w:sz w:val="32"/>
          <w:szCs w:val="32"/>
        </w:rPr>
        <w:t>（类）</w:t>
      </w:r>
      <w:r>
        <w:rPr>
          <w:rFonts w:hint="eastAsia" w:ascii="仿宋_GB2312" w:eastAsia="仿宋_GB2312"/>
          <w:color w:val="000000"/>
          <w:sz w:val="32"/>
          <w:szCs w:val="32"/>
        </w:rPr>
        <w:t>行政事业单位医疗（款）行政单位医疗（项）：指反映财政部门安排的行政单位（包括实行公务员管理的事业单位）基本医疗保险缴费经费，未参加医疗保险的行政单位的公费医疗经费，按国家规定享受离休人员、红军老战士待遇人员的医疗经费。</w:t>
      </w:r>
    </w:p>
    <w:p>
      <w:pPr>
        <w:spacing w:line="56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1</w:t>
      </w:r>
      <w:r>
        <w:rPr>
          <w:rFonts w:hint="eastAsia" w:ascii="仿宋_GB2312"/>
          <w:color w:val="000000"/>
          <w:sz w:val="32"/>
          <w:szCs w:val="32"/>
          <w:lang w:val="en-US" w:eastAsia="zh-CN"/>
        </w:rPr>
        <w:t>4</w:t>
      </w:r>
      <w:r>
        <w:rPr>
          <w:rFonts w:hint="eastAsia" w:ascii="仿宋_GB2312" w:eastAsia="仿宋_GB2312"/>
          <w:color w:val="000000"/>
          <w:sz w:val="32"/>
          <w:szCs w:val="32"/>
        </w:rPr>
        <w:t>.卫生健康支出</w:t>
      </w:r>
      <w:r>
        <w:rPr>
          <w:rFonts w:hint="eastAsia" w:ascii="仿宋" w:hAnsi="仿宋" w:eastAsia="仿宋"/>
          <w:color w:val="000000"/>
          <w:sz w:val="32"/>
          <w:szCs w:val="32"/>
        </w:rPr>
        <w:t>（类）</w:t>
      </w:r>
      <w:r>
        <w:rPr>
          <w:rFonts w:hint="eastAsia" w:ascii="仿宋_GB2312" w:eastAsia="仿宋_GB2312"/>
          <w:color w:val="000000"/>
          <w:sz w:val="32"/>
          <w:szCs w:val="32"/>
        </w:rPr>
        <w:t>行政事业单位医疗（款）公务员医疗补助（项）：指反映财政部门安排的公务员医疗补助经费。</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w:t>
      </w:r>
      <w:r>
        <w:rPr>
          <w:rFonts w:hint="eastAsia" w:ascii="仿宋_GB2312" w:eastAsia="仿宋_GB2312"/>
          <w:color w:val="000000"/>
          <w:sz w:val="32"/>
          <w:szCs w:val="32"/>
        </w:rPr>
        <w:t>住房保障</w:t>
      </w:r>
      <w:r>
        <w:rPr>
          <w:rFonts w:hint="eastAsia" w:ascii="仿宋" w:hAnsi="仿宋" w:eastAsia="仿宋"/>
          <w:color w:val="000000"/>
          <w:sz w:val="32"/>
          <w:szCs w:val="32"/>
        </w:rPr>
        <w:t>（类）</w:t>
      </w:r>
      <w:r>
        <w:rPr>
          <w:rFonts w:hint="eastAsia" w:ascii="仿宋_GB2312" w:eastAsia="仿宋_GB2312"/>
          <w:color w:val="000000"/>
          <w:sz w:val="32"/>
          <w:szCs w:val="32"/>
        </w:rPr>
        <w:t>住房改革支出</w:t>
      </w:r>
      <w:r>
        <w:rPr>
          <w:rFonts w:hint="eastAsia" w:ascii="仿宋" w:hAnsi="仿宋" w:eastAsia="仿宋"/>
          <w:color w:val="000000"/>
          <w:sz w:val="32"/>
          <w:szCs w:val="32"/>
        </w:rPr>
        <w:t>（款）</w:t>
      </w:r>
      <w:r>
        <w:rPr>
          <w:rFonts w:hint="eastAsia" w:ascii="仿宋_GB2312" w:eastAsia="仿宋_GB2312"/>
          <w:color w:val="000000"/>
          <w:sz w:val="32"/>
          <w:szCs w:val="32"/>
        </w:rPr>
        <w:t>住房公积金</w:t>
      </w:r>
      <w:r>
        <w:rPr>
          <w:rFonts w:hint="eastAsia" w:ascii="仿宋" w:hAnsi="仿宋" w:eastAsia="仿宋"/>
          <w:color w:val="000000"/>
          <w:sz w:val="32"/>
          <w:szCs w:val="32"/>
        </w:rPr>
        <w:t>（项）：</w:t>
      </w:r>
      <w:r>
        <w:rPr>
          <w:rFonts w:hint="eastAsia" w:ascii="仿宋_GB2312" w:eastAsia="仿宋_GB2312"/>
          <w:color w:val="000000"/>
          <w:sz w:val="32"/>
          <w:szCs w:val="32"/>
        </w:rPr>
        <w:t>指反映行政事业单位按人力资源和社会保障部、财政部规定基本工资和津贴补贴以及规定比例为职工缴纳的住房公积金。</w:t>
      </w:r>
    </w:p>
    <w:p>
      <w:pPr>
        <w:ind w:firstLine="640" w:firstLineChars="200"/>
        <w:rPr>
          <w:rFonts w:ascii="仿宋_GB2312" w:eastAsia="仿宋_GB2312"/>
          <w:color w:val="auto"/>
          <w:sz w:val="32"/>
          <w:szCs w:val="32"/>
          <w:highlight w:val="none"/>
        </w:rPr>
      </w:pPr>
      <w:r>
        <w:rPr>
          <w:rFonts w:hint="eastAsia" w:ascii="仿宋_GB2312"/>
          <w:color w:val="auto"/>
          <w:sz w:val="32"/>
          <w:szCs w:val="32"/>
          <w:highlight w:val="none"/>
          <w:lang w:val="en-US" w:eastAsia="zh-CN"/>
        </w:rPr>
        <w:t>16</w:t>
      </w:r>
      <w:r>
        <w:rPr>
          <w:rFonts w:ascii="仿宋_GB2312" w:eastAsia="仿宋_GB2312"/>
          <w:color w:val="auto"/>
          <w:sz w:val="32"/>
          <w:szCs w:val="32"/>
          <w:highlight w:val="none"/>
        </w:rPr>
        <w:t>.</w:t>
      </w:r>
      <w:r>
        <w:rPr>
          <w:rFonts w:hint="eastAsia" w:ascii="仿宋_GB2312" w:eastAsia="仿宋_GB2312"/>
          <w:color w:val="auto"/>
          <w:sz w:val="32"/>
          <w:szCs w:val="32"/>
          <w:highlight w:val="none"/>
        </w:rPr>
        <w:t>基本支出：指为保障机构正常运转、完成日常工作任务而发生的人员支出和公用支出。</w:t>
      </w:r>
    </w:p>
    <w:p>
      <w:pPr>
        <w:ind w:firstLine="640" w:firstLineChars="200"/>
        <w:rPr>
          <w:rFonts w:ascii="仿宋_GB2312" w:eastAsia="仿宋_GB2312"/>
          <w:color w:val="auto"/>
          <w:sz w:val="32"/>
          <w:szCs w:val="32"/>
          <w:highlight w:val="none"/>
        </w:rPr>
      </w:pPr>
      <w:r>
        <w:rPr>
          <w:rFonts w:hint="eastAsia" w:ascii="仿宋_GB2312"/>
          <w:color w:val="auto"/>
          <w:sz w:val="32"/>
          <w:szCs w:val="32"/>
          <w:highlight w:val="none"/>
          <w:lang w:val="en-US" w:eastAsia="zh-CN"/>
        </w:rPr>
        <w:t>17</w:t>
      </w:r>
      <w:r>
        <w:rPr>
          <w:rFonts w:ascii="仿宋_GB2312" w:eastAsia="仿宋_GB2312"/>
          <w:color w:val="auto"/>
          <w:sz w:val="32"/>
          <w:szCs w:val="32"/>
          <w:highlight w:val="none"/>
        </w:rPr>
        <w:t>.</w:t>
      </w:r>
      <w:r>
        <w:rPr>
          <w:rFonts w:hint="eastAsia" w:ascii="仿宋_GB2312" w:eastAsia="仿宋_GB2312"/>
          <w:color w:val="auto"/>
          <w:sz w:val="32"/>
          <w:szCs w:val="32"/>
          <w:highlight w:val="none"/>
        </w:rPr>
        <w:t>项目支出：指在基本支出之外为完成特定行政任务和事业发展目标所发生的支出。</w:t>
      </w:r>
      <w:r>
        <w:rPr>
          <w:rFonts w:ascii="仿宋_GB2312" w:eastAsia="仿宋_GB2312"/>
          <w:color w:val="auto"/>
          <w:sz w:val="32"/>
          <w:szCs w:val="32"/>
          <w:highlight w:val="none"/>
        </w:rPr>
        <w:t xml:space="preserve"> </w:t>
      </w:r>
    </w:p>
    <w:p>
      <w:pPr>
        <w:ind w:firstLine="640" w:firstLineChars="200"/>
        <w:rPr>
          <w:rFonts w:ascii="仿宋_GB2312" w:eastAsia="仿宋_GB2312"/>
          <w:color w:val="auto"/>
          <w:sz w:val="32"/>
          <w:szCs w:val="32"/>
          <w:highlight w:val="none"/>
        </w:rPr>
      </w:pPr>
      <w:r>
        <w:rPr>
          <w:rFonts w:hint="eastAsia" w:ascii="仿宋_GB2312"/>
          <w:color w:val="auto"/>
          <w:sz w:val="32"/>
          <w:szCs w:val="32"/>
          <w:highlight w:val="none"/>
          <w:lang w:val="en-US" w:eastAsia="zh-CN"/>
        </w:rPr>
        <w:t>18</w:t>
      </w:r>
      <w:r>
        <w:rPr>
          <w:rFonts w:ascii="仿宋_GB2312" w:eastAsia="仿宋_GB2312"/>
          <w:color w:val="auto"/>
          <w:sz w:val="32"/>
          <w:szCs w:val="32"/>
          <w:highlight w:val="none"/>
        </w:rPr>
        <w:t>.</w:t>
      </w:r>
      <w:r>
        <w:rPr>
          <w:rFonts w:hint="eastAsia" w:ascii="仿宋_GB2312" w:eastAsia="仿宋_GB2312"/>
          <w:color w:val="auto"/>
          <w:sz w:val="32"/>
          <w:szCs w:val="32"/>
          <w:highlight w:val="none"/>
        </w:rPr>
        <w:t>经营支出：指事业单位在专业业务活动及其辅助活动之外开展非独立核算经营活动发生的支出。</w:t>
      </w:r>
    </w:p>
    <w:p>
      <w:pPr>
        <w:pStyle w:val="19"/>
        <w:spacing w:line="560" w:lineRule="exact"/>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lang w:val="en-US" w:eastAsia="zh-CN"/>
        </w:rPr>
        <w:t>19</w:t>
      </w:r>
      <w:r>
        <w:rPr>
          <w:rFonts w:ascii="仿宋_GB2312" w:eastAsia="仿宋_GB2312"/>
          <w:color w:val="auto"/>
          <w:sz w:val="32"/>
          <w:szCs w:val="32"/>
          <w:highlight w:val="none"/>
        </w:rPr>
        <w:t>.</w:t>
      </w:r>
      <w:r>
        <w:rPr>
          <w:rFonts w:hint="eastAsia" w:ascii="仿宋_GB2312" w:eastAsia="仿宋_GB2312"/>
          <w:color w:val="auto"/>
          <w:sz w:val="32"/>
          <w:szCs w:val="32"/>
          <w:highlight w:val="none"/>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19"/>
        <w:spacing w:line="560" w:lineRule="exact"/>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lang w:val="en-US" w:eastAsia="zh-CN"/>
        </w:rPr>
        <w:t>20</w:t>
      </w:r>
      <w:r>
        <w:rPr>
          <w:rFonts w:ascii="仿宋_GB2312" w:eastAsia="仿宋_GB2312"/>
          <w:color w:val="auto"/>
          <w:sz w:val="32"/>
          <w:szCs w:val="32"/>
          <w:highlight w:val="none"/>
        </w:rPr>
        <w:t>.</w:t>
      </w:r>
      <w:r>
        <w:rPr>
          <w:rFonts w:hint="eastAsia" w:ascii="仿宋_GB2312" w:eastAsia="仿宋_GB2312"/>
          <w:color w:val="auto"/>
          <w:sz w:val="32"/>
          <w:szCs w:val="32"/>
          <w:highlight w:val="none"/>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center"/>
        <w:outlineLvl w:val="0"/>
        <w:rPr>
          <w:rStyle w:val="16"/>
          <w:rFonts w:ascii="黑体" w:hAnsi="黑体" w:eastAsia="黑体"/>
          <w:b w:val="0"/>
          <w:highlight w:val="yellow"/>
        </w:rPr>
      </w:pPr>
      <w:r>
        <w:rPr>
          <w:rFonts w:ascii="宋体"/>
          <w:b/>
          <w:color w:val="000000"/>
          <w:sz w:val="44"/>
          <w:szCs w:val="44"/>
        </w:rPr>
        <w:br w:type="page"/>
      </w:r>
      <w:bookmarkStart w:id="55" w:name="_Toc1484434437"/>
      <w:bookmarkStart w:id="56" w:name="_Toc15396614"/>
      <w:r>
        <w:rPr>
          <w:rFonts w:hint="eastAsia" w:ascii="黑体" w:hAnsi="黑体" w:eastAsia="黑体"/>
          <w:color w:val="000000"/>
          <w:sz w:val="44"/>
          <w:szCs w:val="44"/>
          <w:highlight w:val="none"/>
        </w:rPr>
        <w:t>第</w:t>
      </w:r>
      <w:r>
        <w:rPr>
          <w:rStyle w:val="16"/>
          <w:rFonts w:hint="eastAsia" w:ascii="黑体" w:hAnsi="黑体" w:eastAsia="黑体"/>
          <w:b w:val="0"/>
          <w:highlight w:val="none"/>
        </w:rPr>
        <w:t>四部分</w:t>
      </w:r>
      <w:r>
        <w:rPr>
          <w:rStyle w:val="16"/>
          <w:rFonts w:ascii="黑体" w:hAnsi="黑体" w:eastAsia="黑体"/>
          <w:b w:val="0"/>
          <w:highlight w:val="none"/>
        </w:rPr>
        <w:t xml:space="preserve"> </w:t>
      </w:r>
      <w:r>
        <w:rPr>
          <w:rStyle w:val="16"/>
          <w:rFonts w:hint="eastAsia" w:ascii="黑体" w:hAnsi="黑体" w:eastAsia="黑体"/>
          <w:b w:val="0"/>
          <w:highlight w:val="none"/>
        </w:rPr>
        <w:t>附件</w:t>
      </w:r>
      <w:bookmarkEnd w:id="55"/>
      <w:bookmarkEnd w:id="56"/>
    </w:p>
    <w:p>
      <w:pPr>
        <w:keepNext w:val="0"/>
        <w:keepLines w:val="0"/>
        <w:pageBreakBefore w:val="0"/>
        <w:kinsoku/>
        <w:wordWrap/>
        <w:overflowPunct/>
        <w:topLinePunct w:val="0"/>
        <w:autoSpaceDE/>
        <w:autoSpaceDN/>
        <w:bidi w:val="0"/>
        <w:spacing w:line="572" w:lineRule="exact"/>
        <w:jc w:val="left"/>
        <w:textAlignment w:val="auto"/>
        <w:outlineLvl w:val="9"/>
        <w:rPr>
          <w:rFonts w:hint="eastAsia" w:ascii="方正小标宋简体" w:hAnsi="方正小标宋简体" w:eastAsia="黑体" w:cs="方正小标宋简体"/>
          <w:color w:val="auto"/>
          <w:sz w:val="44"/>
          <w:szCs w:val="44"/>
          <w:highlight w:val="none"/>
          <w:lang w:val="en-US" w:eastAsia="zh-CN"/>
        </w:rPr>
      </w:pPr>
      <w:r>
        <w:rPr>
          <w:rFonts w:hint="eastAsia" w:ascii="黑体" w:hAnsi="黑体" w:eastAsia="黑体" w:cs="黑体"/>
          <w:color w:val="auto"/>
          <w:sz w:val="32"/>
          <w:szCs w:val="32"/>
          <w:highlight w:val="none"/>
        </w:rPr>
        <w:t>附件</w:t>
      </w:r>
      <w:r>
        <w:rPr>
          <w:rFonts w:hint="eastAsia" w:ascii="黑体" w:hAnsi="黑体" w:eastAsia="黑体" w:cs="黑体"/>
          <w:color w:val="auto"/>
          <w:sz w:val="32"/>
          <w:szCs w:val="32"/>
          <w:highlight w:val="none"/>
          <w:lang w:val="en-US" w:eastAsia="zh-CN"/>
        </w:rPr>
        <w:t>1</w:t>
      </w:r>
    </w:p>
    <w:p>
      <w:pPr>
        <w:keepNext w:val="0"/>
        <w:keepLines w:val="0"/>
        <w:widowControl w:val="0"/>
        <w:suppressLineNumbers w:val="0"/>
        <w:spacing w:before="0" w:beforeAutospacing="0" w:after="0" w:afterAutospacing="0" w:line="320" w:lineRule="exact"/>
        <w:ind w:left="0" w:right="0"/>
        <w:jc w:val="both"/>
        <w:rPr>
          <w:rFonts w:hint="eastAsia" w:ascii="黑体" w:hAnsi="黑体" w:eastAsia="黑体" w:cs="黑体"/>
          <w:color w:val="000000"/>
          <w:kern w:val="0"/>
          <w:sz w:val="32"/>
          <w:lang w:val="en-US"/>
        </w:rPr>
      </w:pPr>
    </w:p>
    <w:p>
      <w:pPr>
        <w:keepNext w:val="0"/>
        <w:keepLines w:val="0"/>
        <w:widowControl w:val="0"/>
        <w:suppressLineNumbers w:val="0"/>
        <w:spacing w:before="0" w:beforeAutospacing="0" w:after="0" w:afterAutospacing="0" w:line="540" w:lineRule="exact"/>
        <w:ind w:left="0" w:right="0"/>
        <w:jc w:val="center"/>
        <w:rPr>
          <w:rFonts w:hint="eastAsia" w:ascii="Times New Roman" w:hAnsi="方正小标宋简体" w:eastAsia="方正小标宋简体" w:cs="方正小标宋简体"/>
          <w:color w:val="000000"/>
          <w:kern w:val="0"/>
          <w:sz w:val="36"/>
          <w:szCs w:val="36"/>
          <w:lang w:val="en-US" w:eastAsia="zh-CN" w:bidi="ar"/>
        </w:rPr>
      </w:pPr>
      <w:r>
        <w:rPr>
          <w:rFonts w:hint="eastAsia" w:ascii="Times New Roman" w:hAnsi="方正小标宋简体" w:eastAsia="方正小标宋简体" w:cs="方正小标宋简体"/>
          <w:color w:val="000000"/>
          <w:kern w:val="0"/>
          <w:sz w:val="36"/>
          <w:szCs w:val="36"/>
          <w:lang w:val="en-US" w:eastAsia="zh-CN" w:bidi="ar"/>
        </w:rPr>
        <w:t>2022年自贡市沿滩区人民检察院</w:t>
      </w:r>
    </w:p>
    <w:p>
      <w:pPr>
        <w:keepNext w:val="0"/>
        <w:keepLines w:val="0"/>
        <w:widowControl w:val="0"/>
        <w:suppressLineNumbers w:val="0"/>
        <w:spacing w:before="0" w:beforeAutospacing="0" w:after="0" w:afterAutospacing="0" w:line="540" w:lineRule="exact"/>
        <w:ind w:left="0" w:right="0"/>
        <w:jc w:val="center"/>
        <w:rPr>
          <w:rFonts w:hint="eastAsia" w:ascii="Times New Roman" w:hAnsi="方正小标宋简体" w:eastAsia="方正小标宋简体" w:cs="方正小标宋简体"/>
          <w:color w:val="000000"/>
          <w:kern w:val="0"/>
          <w:sz w:val="36"/>
          <w:szCs w:val="36"/>
          <w:lang w:val="en-US" w:eastAsia="zh-CN" w:bidi="ar"/>
        </w:rPr>
      </w:pPr>
      <w:r>
        <w:rPr>
          <w:rFonts w:hint="eastAsia" w:ascii="Times New Roman" w:hAnsi="方正小标宋简体" w:eastAsia="方正小标宋简体" w:cs="方正小标宋简体"/>
          <w:color w:val="000000"/>
          <w:kern w:val="0"/>
          <w:sz w:val="36"/>
          <w:szCs w:val="36"/>
          <w:lang w:eastAsia="zh-CN" w:bidi="ar"/>
        </w:rPr>
        <w:t>部门整体支出绩效</w:t>
      </w:r>
      <w:r>
        <w:rPr>
          <w:rFonts w:hint="eastAsia" w:ascii="Times New Roman" w:hAnsi="方正小标宋简体" w:eastAsia="方正小标宋简体" w:cs="方正小标宋简体"/>
          <w:color w:val="000000"/>
          <w:kern w:val="0"/>
          <w:sz w:val="36"/>
          <w:szCs w:val="36"/>
          <w:lang w:val="en-US" w:eastAsia="zh-CN" w:bidi="ar"/>
        </w:rPr>
        <w:t>报告</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黑体" w:hAnsi="宋体" w:eastAsia="黑体" w:cs="宋体"/>
          <w:color w:val="000000"/>
          <w:kern w:val="0"/>
          <w:sz w:val="32"/>
          <w:szCs w:val="32"/>
          <w:highlight w:val="none"/>
          <w:shd w:val="clear" w:color="auto" w:fill="FFFFFF"/>
          <w:lang w:val="zh-CN"/>
        </w:rPr>
      </w:pPr>
      <w:r>
        <w:rPr>
          <w:rFonts w:hint="eastAsia" w:ascii="黑体" w:hAnsi="宋体" w:eastAsia="黑体" w:cs="宋体"/>
          <w:color w:val="000000"/>
          <w:kern w:val="0"/>
          <w:sz w:val="32"/>
          <w:szCs w:val="32"/>
          <w:highlight w:val="none"/>
          <w:shd w:val="clear" w:color="auto" w:fill="FFFFFF"/>
          <w:lang w:val="en-US" w:eastAsia="zh-CN"/>
        </w:rPr>
        <w:t>一、</w:t>
      </w:r>
      <w:r>
        <w:rPr>
          <w:rFonts w:hint="eastAsia" w:ascii="黑体" w:hAnsi="宋体" w:eastAsia="黑体" w:cs="宋体"/>
          <w:color w:val="000000"/>
          <w:kern w:val="0"/>
          <w:sz w:val="32"/>
          <w:szCs w:val="32"/>
          <w:highlight w:val="none"/>
          <w:shd w:val="clear" w:color="auto" w:fill="FFFFFF"/>
          <w:lang w:val="zh-CN"/>
        </w:rPr>
        <w:t>部门（单位）基本情况</w:t>
      </w:r>
    </w:p>
    <w:p>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（一）机构组成。</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仿宋_GB2312" w:eastAsia="仿宋_GB2312" w:cs="仿宋_GB2312"/>
          <w:b w:val="0"/>
          <w:bCs w:val="0"/>
          <w:color w:val="000000"/>
          <w:kern w:val="0"/>
          <w:sz w:val="32"/>
          <w:szCs w:val="32"/>
          <w:highlight w:val="none"/>
          <w:shd w:val="clear" w:color="auto" w:fill="FFFFFF"/>
          <w:lang w:val="zh-CN" w:eastAsia="zh-CN"/>
        </w:rPr>
      </w:pP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自贡市沿滩区人民检察院现共设</w:t>
      </w:r>
      <w:r>
        <w:rPr>
          <w:rFonts w:hint="eastAsia" w:ascii="仿宋_GB2312" w:hAnsi="仿宋_GB2312" w:cs="仿宋_GB2312"/>
          <w:b w:val="0"/>
          <w:bCs w:val="0"/>
          <w:color w:val="000000"/>
          <w:kern w:val="0"/>
          <w:sz w:val="32"/>
          <w:szCs w:val="32"/>
          <w:highlight w:val="none"/>
          <w:shd w:val="clear" w:color="auto" w:fill="FFFFFF"/>
          <w:lang w:val="zh-CN" w:eastAsia="zh-CN"/>
        </w:rPr>
        <w:t>机构</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5</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个，包括：办公室、第一检察部、第二检察部、第三检察部、政治</w:t>
      </w:r>
      <w:r>
        <w:rPr>
          <w:rFonts w:hint="eastAsia" w:ascii="仿宋_GB2312" w:hAnsi="仿宋_GB2312" w:cs="仿宋_GB2312"/>
          <w:b w:val="0"/>
          <w:bCs w:val="0"/>
          <w:color w:val="000000"/>
          <w:kern w:val="0"/>
          <w:sz w:val="32"/>
          <w:szCs w:val="32"/>
          <w:highlight w:val="none"/>
          <w:shd w:val="clear" w:color="auto" w:fill="FFFFFF"/>
          <w:lang w:val="zh-CN" w:eastAsia="zh-CN"/>
        </w:rPr>
        <w:t>部</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w:t>
      </w:r>
    </w:p>
    <w:p>
      <w:pPr>
        <w:keepNext w:val="0"/>
        <w:keepLines w:val="0"/>
        <w:pageBreakBefore w:val="0"/>
        <w:widowControl/>
        <w:numPr>
          <w:ilvl w:val="0"/>
          <w:numId w:val="5"/>
        </w:numPr>
        <w:kinsoku/>
        <w:wordWrap/>
        <w:overflowPunct/>
        <w:topLinePunct w:val="0"/>
        <w:autoSpaceDE/>
        <w:autoSpaceDN/>
        <w:bidi w:val="0"/>
        <w:adjustRightInd w:val="0"/>
        <w:snapToGrid w:val="0"/>
        <w:spacing w:line="560" w:lineRule="exact"/>
        <w:ind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机构职能和人员概况。</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仿宋_GB2312" w:eastAsia="仿宋_GB2312" w:cs="仿宋_GB2312"/>
          <w:b w:val="0"/>
          <w:bCs w:val="0"/>
          <w:color w:val="000000"/>
          <w:kern w:val="0"/>
          <w:sz w:val="32"/>
          <w:szCs w:val="32"/>
          <w:highlight w:val="none"/>
          <w:shd w:val="clear" w:color="auto" w:fill="FFFFFF"/>
          <w:lang w:val="zh-CN" w:eastAsia="zh-CN"/>
        </w:rPr>
      </w:pP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检察机关是国家法律监督机关，对人民代表大会及其常务委员会负责并报告工作。根据法律规定，自贡市沿滩区人民检察院的主要职责是：依法向区人民代表大会及其常务委员会提出议案；根据上级人民检察院确定的工作方针，部署我区检察工作任务；依法对刑事诉讼、民事审判和行政诉讼</w:t>
      </w:r>
      <w:r>
        <w:rPr>
          <w:rFonts w:hint="eastAsia" w:ascii="仿宋_GB2312" w:hAnsi="仿宋_GB2312" w:cs="仿宋_GB2312"/>
          <w:b w:val="0"/>
          <w:bCs w:val="0"/>
          <w:color w:val="000000"/>
          <w:kern w:val="0"/>
          <w:sz w:val="32"/>
          <w:szCs w:val="32"/>
          <w:highlight w:val="none"/>
          <w:shd w:val="clear" w:color="auto" w:fill="FFFFFF"/>
          <w:lang w:val="zh-CN" w:eastAsia="zh-CN"/>
        </w:rPr>
        <w:t>、公益诉讼</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活动实施法律监督；依法对执行机关刑事执行活动是否合法实行监督；受理单位和个人的报案、控告、检举、申诉、接受犯罪嫌疑人的自首；完成区委、区人大常委会和上级人民检察院交办的各项工作。</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lang w:val="zh-CN"/>
        </w:rPr>
      </w:pP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自贡市沿滩区人民检察院20</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22</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年共有编制</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40</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名，其中：中央政法专项编制人员</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38</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名、工勤人员</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2</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名。本院现有人员</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38</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人，其中：政法专项编制</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36</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人、工勤人员</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2</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人。</w:t>
      </w:r>
    </w:p>
    <w:p>
      <w:pPr>
        <w:keepNext w:val="0"/>
        <w:keepLines w:val="0"/>
        <w:pageBreakBefore w:val="0"/>
        <w:widowControl/>
        <w:numPr>
          <w:ilvl w:val="0"/>
          <w:numId w:val="5"/>
        </w:numPr>
        <w:kinsoku/>
        <w:wordWrap/>
        <w:overflowPunct/>
        <w:topLinePunct w:val="0"/>
        <w:autoSpaceDE/>
        <w:autoSpaceDN/>
        <w:bidi w:val="0"/>
        <w:adjustRightInd w:val="0"/>
        <w:snapToGrid w:val="0"/>
        <w:spacing w:line="560" w:lineRule="exact"/>
        <w:ind w:left="0" w:leftChars="0"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年度主要工作任务。</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仿宋_GB2312" w:eastAsia="仿宋_GB2312" w:cs="仿宋_GB2312"/>
          <w:b w:val="0"/>
          <w:bCs w:val="0"/>
          <w:color w:val="000000"/>
          <w:kern w:val="0"/>
          <w:sz w:val="32"/>
          <w:szCs w:val="32"/>
          <w:highlight w:val="none"/>
          <w:shd w:val="clear" w:color="auto" w:fill="FFFFFF"/>
          <w:lang w:val="zh-CN" w:eastAsia="zh-CN"/>
        </w:rPr>
      </w:pP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2022年，沿滩区检察院坚持以习近平新时代中国</w:t>
      </w:r>
      <w:r>
        <w:rPr>
          <w:rFonts w:hint="eastAsia" w:ascii="仿宋_GB2312" w:hAnsi="仿宋_GB2312" w:cs="仿宋_GB2312"/>
          <w:b w:val="0"/>
          <w:bCs w:val="0"/>
          <w:color w:val="000000"/>
          <w:kern w:val="0"/>
          <w:sz w:val="32"/>
          <w:szCs w:val="32"/>
          <w:highlight w:val="none"/>
          <w:shd w:val="clear" w:color="auto" w:fill="FFFFFF"/>
          <w:lang w:val="zh-CN" w:eastAsia="zh-CN"/>
        </w:rPr>
        <w:t>特色</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社会主义思想为指导，全面贯彻习近平法治思想，认真学习领会党的二十大精神，紧紧围绕区的第十三次党代会部署和区委建设“两区一城”奋斗目标，履行好保障国家安全、维护社会稳定、促进公平正义、守护美好生活的职责使命，为推进沿滩加快建设成渝地区南翼跨越开放合作示范区和再造产业自贡样板区提供强有力的司法保障。</w:t>
      </w:r>
    </w:p>
    <w:p>
      <w:pPr>
        <w:keepNext w:val="0"/>
        <w:keepLines w:val="0"/>
        <w:pageBreakBefore w:val="0"/>
        <w:widowControl/>
        <w:numPr>
          <w:ilvl w:val="0"/>
          <w:numId w:val="5"/>
        </w:numPr>
        <w:kinsoku/>
        <w:wordWrap/>
        <w:overflowPunct/>
        <w:topLinePunct w:val="0"/>
        <w:autoSpaceDE/>
        <w:autoSpaceDN/>
        <w:bidi w:val="0"/>
        <w:adjustRightInd w:val="0"/>
        <w:snapToGrid w:val="0"/>
        <w:spacing w:line="560" w:lineRule="exact"/>
        <w:ind w:left="0" w:leftChars="0"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部门整体支出绩效目标。</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仿宋_GB2312" w:eastAsia="仿宋_GB2312" w:cs="仿宋_GB2312"/>
          <w:b w:val="0"/>
          <w:bCs w:val="0"/>
          <w:color w:val="000000"/>
          <w:kern w:val="0"/>
          <w:sz w:val="32"/>
          <w:szCs w:val="32"/>
          <w:highlight w:val="none"/>
          <w:shd w:val="clear" w:color="auto" w:fill="FFFFFF"/>
          <w:lang w:val="zh-CN" w:eastAsia="zh-CN"/>
        </w:rPr>
      </w:pP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保障本部门机构正常运转、完成日常工作作务。坚持围绕中心突出重点，服务大局展现新作为；坚持立足主责全面履职，维护稳定取得新成绩；坚持聚焦主业强化监督，司法公信提升新高度；完成对刑事案件提起公诉、对人民法院的刑事判决等是否合法进行监督、对侦查案件进行审查、对羁押必要性进行审查监督等案件。</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ascii="黑体" w:hAnsi="宋体" w:eastAsia="黑体" w:cs="宋体"/>
          <w:color w:val="000000"/>
          <w:kern w:val="0"/>
          <w:sz w:val="32"/>
          <w:szCs w:val="32"/>
          <w:highlight w:val="none"/>
          <w:shd w:val="clear" w:color="auto" w:fill="FFFFFF"/>
        </w:rPr>
      </w:pPr>
      <w:r>
        <w:rPr>
          <w:rFonts w:hint="eastAsia" w:ascii="黑体" w:hAnsi="宋体" w:eastAsia="黑体" w:cs="宋体"/>
          <w:color w:val="000000"/>
          <w:kern w:val="0"/>
          <w:sz w:val="32"/>
          <w:szCs w:val="32"/>
          <w:highlight w:val="none"/>
          <w:shd w:val="clear" w:color="auto" w:fill="FFFFFF"/>
        </w:rPr>
        <w:t>二、</w:t>
      </w:r>
      <w:r>
        <w:rPr>
          <w:rFonts w:hint="eastAsia" w:ascii="黑体" w:hAnsi="宋体" w:eastAsia="黑体" w:cs="宋体"/>
          <w:color w:val="000000"/>
          <w:kern w:val="0"/>
          <w:sz w:val="32"/>
          <w:szCs w:val="32"/>
          <w:highlight w:val="none"/>
          <w:shd w:val="clear" w:color="auto" w:fill="FFFFFF"/>
          <w:lang w:eastAsia="zh-CN"/>
        </w:rPr>
        <w:t>部门</w:t>
      </w:r>
      <w:r>
        <w:rPr>
          <w:rFonts w:hint="eastAsia" w:ascii="黑体" w:hAnsi="宋体" w:eastAsia="黑体" w:cs="宋体"/>
          <w:color w:val="000000"/>
          <w:kern w:val="0"/>
          <w:sz w:val="32"/>
          <w:szCs w:val="32"/>
          <w:highlight w:val="none"/>
          <w:shd w:val="clear" w:color="auto" w:fill="FFFFFF"/>
        </w:rPr>
        <w:t>资金收支情况</w:t>
      </w:r>
    </w:p>
    <w:p>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（一）部门总体收支情况。</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仿宋_GB2312" w:eastAsia="仿宋_GB2312" w:cs="仿宋_GB2312"/>
          <w:b w:val="0"/>
          <w:bCs w:val="0"/>
          <w:color w:val="000000"/>
          <w:kern w:val="0"/>
          <w:sz w:val="32"/>
          <w:szCs w:val="32"/>
          <w:highlight w:val="none"/>
          <w:shd w:val="clear" w:color="auto" w:fill="FFFFFF"/>
          <w:lang w:val="en-US" w:eastAsia="zh-CN"/>
        </w:rPr>
      </w:pP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1.部门总体收入情况</w:t>
      </w:r>
    </w:p>
    <w:p>
      <w:pPr>
        <w:keepNext w:val="0"/>
        <w:keepLines w:val="0"/>
        <w:pageBreakBefore w:val="0"/>
        <w:kinsoku/>
        <w:wordWrap/>
        <w:overflowPunct/>
        <w:topLinePunct w:val="0"/>
        <w:autoSpaceDE/>
        <w:autoSpaceDN/>
        <w:bidi w:val="0"/>
        <w:snapToGrid w:val="0"/>
        <w:spacing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20</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22</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年本年收入合计1</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008.36</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万元，其中：一般公共预算财政拨款收入1</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008.36</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万元；政府性基金预算财政拨款收入0万元；国有资本经营预算财政拨款收入0万元；事业收入0万元；经营收入0万元；附属单位上缴收入0万元；其他收入0万元</w:t>
      </w:r>
      <w:r>
        <w:rPr>
          <w:rFonts w:hint="eastAsia" w:ascii="宋体" w:hAnsi="宋体" w:eastAsia="宋体" w:cs="宋体"/>
          <w:color w:val="000000"/>
          <w:spacing w:val="0"/>
          <w:w w:val="100"/>
          <w:position w:val="0"/>
          <w:sz w:val="30"/>
          <w:szCs w:val="30"/>
          <w:u w:val="none"/>
          <w:shd w:val="clear" w:color="auto" w:fill="auto"/>
          <w:lang w:val="zh-CN" w:eastAsia="zh-CN" w:bidi="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仿宋_GB2312" w:eastAsia="仿宋_GB2312" w:cs="仿宋_GB2312"/>
          <w:b w:val="0"/>
          <w:bCs w:val="0"/>
          <w:color w:val="000000"/>
          <w:kern w:val="0"/>
          <w:sz w:val="32"/>
          <w:szCs w:val="32"/>
          <w:highlight w:val="none"/>
          <w:shd w:val="clear" w:color="auto" w:fill="FFFFFF"/>
          <w:lang w:val="en-US" w:eastAsia="zh-CN"/>
        </w:rPr>
      </w:pPr>
      <w:r>
        <w:rPr>
          <w:rFonts w:hint="eastAsia" w:ascii="仿宋_GB2312" w:hAnsi="仿宋_GB2312" w:cs="仿宋_GB2312"/>
          <w:b w:val="0"/>
          <w:bCs w:val="0"/>
          <w:color w:val="000000"/>
          <w:kern w:val="0"/>
          <w:sz w:val="32"/>
          <w:szCs w:val="32"/>
          <w:highlight w:val="none"/>
          <w:shd w:val="clear" w:color="auto" w:fill="FFFFFF"/>
          <w:lang w:val="en-US" w:eastAsia="zh-CN"/>
        </w:rPr>
        <w:t>2.</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部门总体支出情况</w:t>
      </w:r>
    </w:p>
    <w:p>
      <w:pPr>
        <w:keepNext w:val="0"/>
        <w:keepLines w:val="0"/>
        <w:pageBreakBefore w:val="0"/>
        <w:kinsoku/>
        <w:wordWrap/>
        <w:overflowPunct/>
        <w:topLinePunct w:val="0"/>
        <w:autoSpaceDE/>
        <w:autoSpaceDN/>
        <w:bidi w:val="0"/>
        <w:snapToGrid w:val="0"/>
        <w:spacing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202</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2</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年沿滩区人民检察院支出合计</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1008.36</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万元，其中：基本支出835</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74万元；项目支出172</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6</w:t>
      </w:r>
      <w:r>
        <w:rPr>
          <w:rFonts w:hint="eastAsia" w:ascii="仿宋_GB2312" w:hAnsi="仿宋_GB2312" w:eastAsia="仿宋_GB2312" w:cs="仿宋_GB2312"/>
          <w:b w:val="0"/>
          <w:bCs w:val="0"/>
          <w:color w:val="000000"/>
          <w:kern w:val="0"/>
          <w:sz w:val="32"/>
          <w:szCs w:val="32"/>
          <w:highlight w:val="none"/>
          <w:shd w:val="clear" w:color="auto" w:fill="FFFFFF"/>
          <w:lang w:val="en-US" w:eastAsia="zh-CN"/>
        </w:rPr>
        <w:t>2</w:t>
      </w:r>
      <w:r>
        <w:rPr>
          <w:rFonts w:hint="eastAsia" w:ascii="仿宋_GB2312" w:hAnsi="仿宋_GB2312" w:eastAsia="仿宋_GB2312" w:cs="仿宋_GB2312"/>
          <w:b w:val="0"/>
          <w:bCs w:val="0"/>
          <w:color w:val="000000"/>
          <w:kern w:val="0"/>
          <w:sz w:val="32"/>
          <w:szCs w:val="32"/>
          <w:highlight w:val="none"/>
          <w:shd w:val="clear" w:color="auto" w:fill="FFFFFF"/>
          <w:lang w:val="zh-CN" w:eastAsia="zh-CN"/>
        </w:rPr>
        <w:t>万元；上缴上级支出0万元；经营支出0万元；对附属单位补助支出0万元。</w:t>
      </w:r>
    </w:p>
    <w:p>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（二）部门财政拨款收支情况。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仿宋_GB2312" w:cs="仿宋_GB2312"/>
          <w:b w:val="0"/>
          <w:bCs w:val="0"/>
          <w:color w:val="000000"/>
          <w:kern w:val="0"/>
          <w:sz w:val="32"/>
          <w:szCs w:val="32"/>
          <w:highlight w:val="none"/>
          <w:shd w:val="clear" w:color="auto" w:fill="FFFFFF"/>
          <w:lang w:val="en-US" w:eastAsia="zh-CN"/>
        </w:rPr>
      </w:pPr>
      <w:r>
        <w:rPr>
          <w:rFonts w:hint="eastAsia" w:ascii="仿宋_GB2312" w:hAnsi="仿宋_GB2312" w:cs="仿宋_GB2312"/>
          <w:b w:val="0"/>
          <w:bCs w:val="0"/>
          <w:color w:val="000000"/>
          <w:kern w:val="0"/>
          <w:sz w:val="32"/>
          <w:szCs w:val="32"/>
          <w:highlight w:val="none"/>
          <w:shd w:val="clear" w:color="auto" w:fill="FFFFFF"/>
          <w:lang w:val="en-US" w:eastAsia="zh-CN"/>
        </w:rPr>
        <w:t>1.部门财政拨款收入情况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仿宋_GB2312" w:cs="仿宋_GB2312"/>
          <w:b w:val="0"/>
          <w:bCs w:val="0"/>
          <w:color w:val="000000"/>
          <w:kern w:val="0"/>
          <w:sz w:val="32"/>
          <w:szCs w:val="32"/>
          <w:highlight w:val="none"/>
          <w:shd w:val="clear" w:color="auto" w:fill="FFFFFF"/>
          <w:lang w:val="en-US" w:eastAsia="zh-CN"/>
        </w:rPr>
      </w:pPr>
      <w:r>
        <w:rPr>
          <w:rFonts w:hint="eastAsia" w:ascii="仿宋_GB2312" w:hAnsi="仿宋_GB2312" w:cs="仿宋_GB2312"/>
          <w:b w:val="0"/>
          <w:bCs w:val="0"/>
          <w:color w:val="000000"/>
          <w:kern w:val="0"/>
          <w:sz w:val="32"/>
          <w:szCs w:val="32"/>
          <w:highlight w:val="none"/>
          <w:shd w:val="clear" w:color="auto" w:fill="FFFFFF"/>
          <w:lang w:val="zh-CN" w:eastAsia="zh-CN"/>
        </w:rPr>
        <w:t>20</w:t>
      </w:r>
      <w:r>
        <w:rPr>
          <w:rFonts w:hint="eastAsia" w:ascii="仿宋_GB2312" w:hAnsi="仿宋_GB2312" w:cs="仿宋_GB2312"/>
          <w:b w:val="0"/>
          <w:bCs w:val="0"/>
          <w:color w:val="000000"/>
          <w:kern w:val="0"/>
          <w:sz w:val="32"/>
          <w:szCs w:val="32"/>
          <w:highlight w:val="none"/>
          <w:shd w:val="clear" w:color="auto" w:fill="FFFFFF"/>
          <w:lang w:val="en-US" w:eastAsia="zh-CN"/>
        </w:rPr>
        <w:t>22</w:t>
      </w:r>
      <w:r>
        <w:rPr>
          <w:rFonts w:hint="eastAsia" w:ascii="仿宋_GB2312" w:hAnsi="仿宋_GB2312" w:cs="仿宋_GB2312"/>
          <w:b w:val="0"/>
          <w:bCs w:val="0"/>
          <w:color w:val="000000"/>
          <w:kern w:val="0"/>
          <w:sz w:val="32"/>
          <w:szCs w:val="32"/>
          <w:highlight w:val="none"/>
          <w:shd w:val="clear" w:color="auto" w:fill="FFFFFF"/>
          <w:lang w:val="zh-CN" w:eastAsia="zh-CN"/>
        </w:rPr>
        <w:t>年部门财政拨款收入1</w:t>
      </w:r>
      <w:r>
        <w:rPr>
          <w:rFonts w:hint="eastAsia" w:ascii="仿宋_GB2312" w:hAnsi="仿宋_GB2312" w:cs="仿宋_GB2312"/>
          <w:b w:val="0"/>
          <w:bCs w:val="0"/>
          <w:color w:val="000000"/>
          <w:kern w:val="0"/>
          <w:sz w:val="32"/>
          <w:szCs w:val="32"/>
          <w:highlight w:val="none"/>
          <w:shd w:val="clear" w:color="auto" w:fill="FFFFFF"/>
          <w:lang w:val="en-US" w:eastAsia="zh-CN"/>
        </w:rPr>
        <w:t>008.36</w:t>
      </w:r>
      <w:r>
        <w:rPr>
          <w:rFonts w:hint="eastAsia" w:ascii="仿宋_GB2312" w:hAnsi="仿宋_GB2312" w:cs="仿宋_GB2312"/>
          <w:b w:val="0"/>
          <w:bCs w:val="0"/>
          <w:color w:val="000000"/>
          <w:kern w:val="0"/>
          <w:sz w:val="32"/>
          <w:szCs w:val="32"/>
          <w:highlight w:val="none"/>
          <w:shd w:val="clear" w:color="auto" w:fill="FFFFFF"/>
          <w:lang w:val="zh-CN"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仿宋_GB2312" w:cs="仿宋_GB2312"/>
          <w:b w:val="0"/>
          <w:bCs w:val="0"/>
          <w:color w:val="000000"/>
          <w:kern w:val="0"/>
          <w:sz w:val="32"/>
          <w:szCs w:val="32"/>
          <w:highlight w:val="none"/>
          <w:shd w:val="clear" w:color="auto" w:fill="FFFFFF"/>
          <w:lang w:val="en-US" w:eastAsia="zh-CN"/>
        </w:rPr>
      </w:pPr>
      <w:r>
        <w:rPr>
          <w:rFonts w:hint="eastAsia" w:ascii="仿宋_GB2312" w:hAnsi="仿宋_GB2312" w:cs="仿宋_GB2312"/>
          <w:b w:val="0"/>
          <w:bCs w:val="0"/>
          <w:color w:val="000000"/>
          <w:kern w:val="0"/>
          <w:sz w:val="32"/>
          <w:szCs w:val="32"/>
          <w:highlight w:val="none"/>
          <w:shd w:val="clear" w:color="auto" w:fill="FFFFFF"/>
          <w:lang w:val="en-US" w:eastAsia="zh-CN"/>
        </w:rPr>
        <w:t>2.部门财政拨款支出情况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lang w:val="en-US" w:eastAsia="zh-CN"/>
        </w:rPr>
      </w:pPr>
      <w:r>
        <w:rPr>
          <w:rFonts w:hint="eastAsia" w:ascii="仿宋_GB2312" w:hAnsi="仿宋_GB2312" w:cs="仿宋_GB2312"/>
          <w:b w:val="0"/>
          <w:bCs w:val="0"/>
          <w:color w:val="000000"/>
          <w:kern w:val="0"/>
          <w:sz w:val="32"/>
          <w:szCs w:val="32"/>
          <w:highlight w:val="none"/>
          <w:shd w:val="clear" w:color="auto" w:fill="FFFFFF"/>
          <w:lang w:val="zh-CN" w:eastAsia="zh-CN"/>
        </w:rPr>
        <w:t>20</w:t>
      </w:r>
      <w:r>
        <w:rPr>
          <w:rFonts w:hint="eastAsia" w:ascii="仿宋_GB2312" w:hAnsi="仿宋_GB2312" w:cs="仿宋_GB2312"/>
          <w:b w:val="0"/>
          <w:bCs w:val="0"/>
          <w:color w:val="000000"/>
          <w:kern w:val="0"/>
          <w:sz w:val="32"/>
          <w:szCs w:val="32"/>
          <w:highlight w:val="none"/>
          <w:shd w:val="clear" w:color="auto" w:fill="FFFFFF"/>
          <w:lang w:val="en-US" w:eastAsia="zh-CN"/>
        </w:rPr>
        <w:t>22</w:t>
      </w:r>
      <w:r>
        <w:rPr>
          <w:rFonts w:hint="eastAsia" w:ascii="仿宋_GB2312" w:hAnsi="仿宋_GB2312" w:cs="仿宋_GB2312"/>
          <w:b w:val="0"/>
          <w:bCs w:val="0"/>
          <w:color w:val="000000"/>
          <w:kern w:val="0"/>
          <w:sz w:val="32"/>
          <w:szCs w:val="32"/>
          <w:highlight w:val="none"/>
          <w:shd w:val="clear" w:color="auto" w:fill="FFFFFF"/>
          <w:lang w:val="zh-CN" w:eastAsia="zh-CN"/>
        </w:rPr>
        <w:t>年部门财政拨款支出1</w:t>
      </w:r>
      <w:r>
        <w:rPr>
          <w:rFonts w:hint="eastAsia" w:ascii="仿宋_GB2312" w:hAnsi="仿宋_GB2312" w:cs="仿宋_GB2312"/>
          <w:b w:val="0"/>
          <w:bCs w:val="0"/>
          <w:color w:val="000000"/>
          <w:kern w:val="0"/>
          <w:sz w:val="32"/>
          <w:szCs w:val="32"/>
          <w:highlight w:val="none"/>
          <w:shd w:val="clear" w:color="auto" w:fill="FFFFFF"/>
          <w:lang w:val="en-US" w:eastAsia="zh-CN"/>
        </w:rPr>
        <w:t>008.36</w:t>
      </w:r>
      <w:r>
        <w:rPr>
          <w:rFonts w:hint="eastAsia" w:ascii="仿宋_GB2312" w:hAnsi="仿宋_GB2312" w:cs="仿宋_GB2312"/>
          <w:b w:val="0"/>
          <w:bCs w:val="0"/>
          <w:color w:val="000000"/>
          <w:kern w:val="0"/>
          <w:sz w:val="32"/>
          <w:szCs w:val="32"/>
          <w:highlight w:val="none"/>
          <w:shd w:val="clear" w:color="auto" w:fill="FFFFFF"/>
          <w:lang w:val="zh-CN" w:eastAsia="zh-CN"/>
        </w:rPr>
        <w:t>万元。</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ascii="黑体" w:hAnsi="宋体" w:eastAsia="黑体" w:cs="宋体"/>
          <w:color w:val="000000"/>
          <w:kern w:val="0"/>
          <w:sz w:val="32"/>
          <w:szCs w:val="32"/>
          <w:highlight w:val="none"/>
          <w:shd w:val="clear" w:color="auto" w:fill="FFFFFF"/>
        </w:rPr>
      </w:pPr>
      <w:r>
        <w:rPr>
          <w:rFonts w:hint="eastAsia" w:ascii="黑体" w:hAnsi="宋体" w:eastAsia="黑体" w:cs="宋体"/>
          <w:color w:val="000000"/>
          <w:kern w:val="0"/>
          <w:sz w:val="32"/>
          <w:szCs w:val="32"/>
          <w:highlight w:val="none"/>
          <w:shd w:val="clear" w:color="auto" w:fill="FFFFFF"/>
        </w:rPr>
        <w:t>三、</w:t>
      </w:r>
      <w:r>
        <w:rPr>
          <w:rFonts w:hint="eastAsia" w:ascii="黑体" w:hAnsi="宋体" w:eastAsia="黑体" w:cs="宋体"/>
          <w:color w:val="000000"/>
          <w:kern w:val="0"/>
          <w:sz w:val="32"/>
          <w:szCs w:val="32"/>
          <w:highlight w:val="none"/>
          <w:u w:val="none"/>
          <w:shd w:val="clear" w:color="auto" w:fill="FFFFFF"/>
        </w:rPr>
        <w:t>部门整体绩效</w:t>
      </w:r>
      <w:r>
        <w:rPr>
          <w:rFonts w:hint="eastAsia" w:ascii="黑体" w:hAnsi="宋体" w:eastAsia="黑体" w:cs="宋体"/>
          <w:color w:val="000000"/>
          <w:kern w:val="0"/>
          <w:sz w:val="32"/>
          <w:szCs w:val="32"/>
          <w:highlight w:val="none"/>
          <w:u w:val="none"/>
          <w:shd w:val="clear" w:color="auto" w:fill="FFFFFF"/>
          <w:lang w:eastAsia="zh-CN"/>
        </w:rPr>
        <w:t>分析</w:t>
      </w:r>
    </w:p>
    <w:p>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contextualSpacing/>
        <w:jc w:val="left"/>
        <w:textAlignment w:val="auto"/>
        <w:rPr>
          <w:rFonts w:hint="eastAsia" w:ascii="仿宋_GB2312" w:hAnsi="宋体" w:eastAsia="仿宋_GB2312" w:cs="宋体"/>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（一）部门预算项目绩效分析。</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宋体" w:eastAsia="仿宋_GB2312" w:cs="宋体"/>
          <w:color w:val="000000"/>
          <w:kern w:val="0"/>
          <w:sz w:val="32"/>
          <w:szCs w:val="32"/>
          <w:highlight w:val="none"/>
          <w:shd w:val="clear" w:color="auto" w:fill="FFFFFF"/>
          <w:lang w:val="en-US" w:eastAsia="zh-CN"/>
        </w:rPr>
      </w:pPr>
      <w:r>
        <w:rPr>
          <w:rFonts w:hint="eastAsia" w:ascii="仿宋_GB2312" w:hAnsi="宋体" w:eastAsia="仿宋_GB2312" w:cs="宋体"/>
          <w:color w:val="000000"/>
          <w:kern w:val="0"/>
          <w:sz w:val="32"/>
          <w:szCs w:val="32"/>
          <w:highlight w:val="none"/>
          <w:shd w:val="clear" w:color="auto" w:fill="FFFFFF"/>
          <w:lang w:val="en-US" w:eastAsia="zh-CN"/>
        </w:rPr>
        <w:t>1.人员类项目绩效分析</w:t>
      </w:r>
    </w:p>
    <w:p>
      <w:pPr>
        <w:pStyle w:val="22"/>
        <w:keepNext w:val="0"/>
        <w:keepLines w:val="0"/>
        <w:widowControl w:val="0"/>
        <w:shd w:val="clear" w:color="auto" w:fill="auto"/>
        <w:bidi w:val="0"/>
        <w:spacing w:before="0" w:after="0" w:line="572" w:lineRule="exact"/>
        <w:ind w:left="0" w:right="0" w:firstLine="620"/>
        <w:jc w:val="left"/>
        <w:rPr>
          <w:rFonts w:hint="default" w:ascii="仿宋_GB2312" w:hAnsi="宋体" w:eastAsia="仿宋_GB2312" w:cs="宋体"/>
          <w:color w:val="000000"/>
          <w:kern w:val="0"/>
          <w:sz w:val="32"/>
          <w:szCs w:val="32"/>
          <w:highlight w:val="none"/>
          <w:u w:val="none"/>
          <w:shd w:val="clear" w:color="auto" w:fill="FFFFFF"/>
          <w:lang w:val="en-US" w:eastAsia="zh-CN" w:bidi="ar-SA"/>
        </w:rPr>
      </w:pPr>
      <w:r>
        <w:rPr>
          <w:rFonts w:hint="eastAsia" w:ascii="仿宋_GB2312" w:hAnsi="宋体" w:eastAsia="仿宋_GB2312" w:cs="宋体"/>
          <w:color w:val="000000"/>
          <w:kern w:val="0"/>
          <w:sz w:val="32"/>
          <w:szCs w:val="32"/>
          <w:highlight w:val="none"/>
          <w:u w:val="none"/>
          <w:shd w:val="clear" w:color="auto" w:fill="FFFFFF"/>
          <w:lang w:val="en-US" w:eastAsia="zh-CN" w:bidi="ar-SA"/>
        </w:rPr>
        <w:t>人员类项目主要为保障在编人员、聘用人员工资和社保公积金等按时发放和缴纳，包括工资性支出、其他人员支出、单位缴费、聘用人员经费、离退休费支出几个项目。总预算数为638.18万元，实际执行数为638.18万元，执行率100%，预算完成情况良好，资金结余率低，无违规记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hint="eastAsia" w:ascii="仿宋_GB2312" w:hAnsi="宋体" w:eastAsia="仿宋_GB2312" w:cs="宋体"/>
          <w:color w:val="000000"/>
          <w:kern w:val="0"/>
          <w:sz w:val="32"/>
          <w:szCs w:val="32"/>
          <w:highlight w:val="none"/>
          <w:shd w:val="clear" w:color="auto" w:fill="FFFFFF"/>
          <w:lang w:val="en-US" w:eastAsia="zh-CN"/>
        </w:rPr>
      </w:pPr>
      <w:r>
        <w:rPr>
          <w:rFonts w:hint="eastAsia" w:ascii="仿宋_GB2312" w:hAnsi="宋体" w:eastAsia="仿宋_GB2312" w:cs="宋体"/>
          <w:color w:val="000000"/>
          <w:kern w:val="0"/>
          <w:sz w:val="32"/>
          <w:szCs w:val="32"/>
          <w:highlight w:val="none"/>
          <w:shd w:val="clear" w:color="auto" w:fill="FFFFFF"/>
          <w:lang w:val="en-US" w:eastAsia="zh-CN"/>
        </w:rPr>
        <w:t>2.运转类项目绩效分析</w:t>
      </w:r>
    </w:p>
    <w:p>
      <w:pPr>
        <w:pStyle w:val="22"/>
        <w:keepNext w:val="0"/>
        <w:keepLines w:val="0"/>
        <w:widowControl w:val="0"/>
        <w:shd w:val="clear" w:color="auto" w:fill="auto"/>
        <w:bidi w:val="0"/>
        <w:spacing w:before="0" w:after="0" w:line="572" w:lineRule="exact"/>
        <w:ind w:left="0" w:right="0" w:firstLine="620"/>
        <w:jc w:val="left"/>
        <w:rPr>
          <w:rFonts w:hint="default" w:ascii="仿宋_GB2312" w:hAnsi="宋体" w:eastAsia="仿宋_GB2312" w:cs="宋体"/>
          <w:color w:val="000000"/>
          <w:kern w:val="0"/>
          <w:sz w:val="32"/>
          <w:szCs w:val="32"/>
          <w:highlight w:val="none"/>
          <w:u w:val="none"/>
          <w:shd w:val="clear" w:color="auto" w:fill="FFFFFF"/>
          <w:lang w:val="en-US" w:eastAsia="zh-CN" w:bidi="ar-SA"/>
        </w:rPr>
      </w:pPr>
      <w:r>
        <w:rPr>
          <w:rFonts w:hint="eastAsia" w:ascii="仿宋_GB2312" w:hAnsi="宋体" w:eastAsia="仿宋_GB2312" w:cs="宋体"/>
          <w:color w:val="000000"/>
          <w:kern w:val="0"/>
          <w:sz w:val="32"/>
          <w:szCs w:val="32"/>
          <w:highlight w:val="none"/>
          <w:u w:val="none"/>
          <w:shd w:val="clear" w:color="auto" w:fill="FFFFFF"/>
          <w:lang w:val="en-US" w:eastAsia="zh-CN" w:bidi="ar-SA"/>
        </w:rPr>
        <w:t>运转类项目分为定额公用经费何非定额公用经费，总预算数为117万元，实际执行数为117万元，执行率100%，按照预算目标与实际情况支出，用于保障单位正常运转，预算完成情况良好，资金结余率低，无违规记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hint="default" w:ascii="仿宋_GB2312" w:hAnsi="宋体" w:eastAsia="仿宋_GB2312" w:cs="宋体"/>
          <w:color w:val="000000"/>
          <w:kern w:val="0"/>
          <w:sz w:val="32"/>
          <w:szCs w:val="32"/>
          <w:highlight w:val="none"/>
          <w:shd w:val="clear" w:color="auto" w:fill="FFFFFF"/>
          <w:lang w:val="en-US" w:eastAsia="zh-CN"/>
        </w:rPr>
      </w:pPr>
      <w:r>
        <w:rPr>
          <w:rFonts w:hint="eastAsia" w:ascii="仿宋_GB2312" w:hAnsi="宋体" w:eastAsia="仿宋_GB2312" w:cs="宋体"/>
          <w:color w:val="000000"/>
          <w:kern w:val="0"/>
          <w:sz w:val="32"/>
          <w:szCs w:val="32"/>
          <w:highlight w:val="none"/>
          <w:shd w:val="clear" w:color="auto" w:fill="FFFFFF"/>
          <w:lang w:val="en-US" w:eastAsia="zh-CN"/>
        </w:rPr>
        <w:t>3.特定目标类项目绩效分析</w:t>
      </w:r>
    </w:p>
    <w:p>
      <w:pPr>
        <w:pStyle w:val="22"/>
        <w:keepNext w:val="0"/>
        <w:keepLines w:val="0"/>
        <w:widowControl w:val="0"/>
        <w:shd w:val="clear" w:color="auto" w:fill="auto"/>
        <w:bidi w:val="0"/>
        <w:spacing w:before="0" w:after="0" w:line="572" w:lineRule="exact"/>
        <w:ind w:left="0" w:right="0" w:firstLine="620"/>
        <w:jc w:val="left"/>
        <w:rPr>
          <w:rFonts w:hint="default" w:ascii="仿宋_GB2312" w:hAnsi="宋体" w:eastAsia="仿宋_GB2312" w:cs="宋体"/>
          <w:color w:val="000000"/>
          <w:kern w:val="0"/>
          <w:sz w:val="32"/>
          <w:szCs w:val="32"/>
          <w:highlight w:val="none"/>
          <w:u w:val="none"/>
          <w:shd w:val="clear" w:color="auto" w:fill="FFFFFF"/>
          <w:lang w:val="en-US" w:eastAsia="zh-CN" w:bidi="ar-SA"/>
        </w:rPr>
      </w:pPr>
      <w:r>
        <w:rPr>
          <w:rFonts w:hint="eastAsia" w:ascii="仿宋_GB2312" w:hAnsi="宋体" w:eastAsia="仿宋_GB2312" w:cs="宋体"/>
          <w:color w:val="000000"/>
          <w:kern w:val="0"/>
          <w:sz w:val="32"/>
          <w:szCs w:val="32"/>
          <w:highlight w:val="none"/>
          <w:u w:val="none"/>
          <w:shd w:val="clear" w:color="auto" w:fill="FFFFFF"/>
          <w:lang w:val="en-US" w:eastAsia="zh-CN" w:bidi="ar-SA"/>
        </w:rPr>
        <w:t>特定目标类项目包括沿滩检察院办案用房和专业技术用房信息化建设项目、区（县）法院、检察院四川省政法纪检监察转移支付结转资金项目、提前下达2022年特定转移支付、沿滩区检察院--办公办案运转项目、沿滩区检察院--检察绩效项目预算数、沿滩区检察院-司法救助项目，用于办公办案用房信息化建设，保障我院刑事检察、公益诉讼、侦查监督、民事行政监察案件等工作正常开展，保障绩效奖金，为困难群众提供司法救助。全年预算数为2</w:t>
      </w:r>
      <w:r>
        <w:rPr>
          <w:rFonts w:hint="eastAsia" w:ascii="仿宋_GB2312" w:eastAsia="仿宋_GB2312" w:cs="宋体"/>
          <w:color w:val="000000"/>
          <w:kern w:val="0"/>
          <w:sz w:val="32"/>
          <w:szCs w:val="32"/>
          <w:highlight w:val="none"/>
          <w:u w:val="none"/>
          <w:shd w:val="clear" w:color="auto" w:fill="FFFFFF"/>
          <w:lang w:val="en-US" w:eastAsia="zh-CN" w:bidi="ar-SA"/>
        </w:rPr>
        <w:t>5</w:t>
      </w:r>
      <w:r>
        <w:rPr>
          <w:rFonts w:hint="eastAsia" w:ascii="仿宋_GB2312" w:hAnsi="宋体" w:eastAsia="仿宋_GB2312" w:cs="宋体"/>
          <w:color w:val="000000"/>
          <w:kern w:val="0"/>
          <w:sz w:val="32"/>
          <w:szCs w:val="32"/>
          <w:highlight w:val="none"/>
          <w:u w:val="none"/>
          <w:shd w:val="clear" w:color="auto" w:fill="FFFFFF"/>
          <w:lang w:val="en-US" w:eastAsia="zh-CN" w:bidi="ar-SA"/>
        </w:rPr>
        <w:t>8.18万元，实际执行数为2</w:t>
      </w:r>
      <w:r>
        <w:rPr>
          <w:rFonts w:hint="eastAsia" w:ascii="仿宋_GB2312" w:eastAsia="仿宋_GB2312" w:cs="宋体"/>
          <w:color w:val="000000"/>
          <w:kern w:val="0"/>
          <w:sz w:val="32"/>
          <w:szCs w:val="32"/>
          <w:highlight w:val="none"/>
          <w:u w:val="none"/>
          <w:shd w:val="clear" w:color="auto" w:fill="FFFFFF"/>
          <w:lang w:val="en-US" w:eastAsia="zh-CN" w:bidi="ar-SA"/>
        </w:rPr>
        <w:t>5</w:t>
      </w:r>
      <w:r>
        <w:rPr>
          <w:rFonts w:hint="eastAsia" w:ascii="仿宋_GB2312" w:hAnsi="宋体" w:eastAsia="仿宋_GB2312" w:cs="宋体"/>
          <w:color w:val="000000"/>
          <w:kern w:val="0"/>
          <w:sz w:val="32"/>
          <w:szCs w:val="32"/>
          <w:highlight w:val="none"/>
          <w:u w:val="none"/>
          <w:shd w:val="clear" w:color="auto" w:fill="FFFFFF"/>
          <w:lang w:val="en-US" w:eastAsia="zh-CN" w:bidi="ar-SA"/>
        </w:rPr>
        <w:t>3.18万元，执行率为98%，预算完成情况良好，资金结转率低，无违规记录。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（二）部门整体履职绩效分析。</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000000"/>
          <w:kern w:val="0"/>
          <w:sz w:val="32"/>
          <w:szCs w:val="32"/>
          <w:highlight w:val="none"/>
          <w:u w:val="none"/>
          <w:shd w:val="clear" w:color="auto" w:fill="FFFFFF"/>
          <w:lang w:val="en-US" w:eastAsia="zh-CN" w:bidi="ar-SA"/>
        </w:rPr>
      </w:pPr>
      <w:r>
        <w:rPr>
          <w:rFonts w:hint="eastAsia" w:ascii="仿宋_GB2312" w:hAnsi="宋体" w:eastAsia="仿宋_GB2312" w:cs="宋体"/>
          <w:color w:val="000000"/>
          <w:kern w:val="0"/>
          <w:sz w:val="32"/>
          <w:szCs w:val="32"/>
          <w:highlight w:val="none"/>
          <w:u w:val="none"/>
          <w:shd w:val="clear" w:color="auto" w:fill="FFFFFF"/>
          <w:lang w:val="zh-CN" w:eastAsia="zh-CN" w:bidi="ar-SA"/>
        </w:rPr>
        <w:t>保障了本部门机构正常运转、完成日常工作作务。</w:t>
      </w:r>
      <w:r>
        <w:rPr>
          <w:rFonts w:hint="eastAsia" w:ascii="仿宋_GB2312" w:hAnsi="宋体" w:eastAsia="仿宋_GB2312" w:cs="宋体"/>
          <w:color w:val="000000"/>
          <w:kern w:val="0"/>
          <w:sz w:val="32"/>
          <w:szCs w:val="32"/>
          <w:highlight w:val="none"/>
          <w:u w:val="none"/>
          <w:shd w:val="clear" w:color="auto" w:fill="FFFFFF"/>
          <w:lang w:val="en-US" w:eastAsia="zh-CN" w:bidi="ar-SA"/>
        </w:rPr>
        <w:t>我院积极履职，强化管理，较好完成了年度工作目标。资金使用过程在能较好控制支出，把控执行进度，部门整体支出管理水平得到了提升，绩效目标达成情况良好。</w:t>
      </w:r>
    </w:p>
    <w:p>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（三）结果应用情况。</w:t>
      </w:r>
    </w:p>
    <w:p>
      <w:pPr>
        <w:keepNext w:val="0"/>
        <w:keepLines w:val="0"/>
        <w:pageBreakBefore w:val="0"/>
        <w:kinsoku/>
        <w:wordWrap/>
        <w:overflowPunct/>
        <w:topLinePunct w:val="0"/>
        <w:autoSpaceDE/>
        <w:autoSpaceDN/>
        <w:bidi w:val="0"/>
        <w:snapToGrid w:val="0"/>
        <w:spacing w:line="560" w:lineRule="exact"/>
        <w:ind w:firstLine="640" w:firstLineChars="200"/>
        <w:textAlignment w:val="auto"/>
        <w:rPr>
          <w:color w:val="000000"/>
          <w:spacing w:val="0"/>
          <w:w w:val="100"/>
          <w:position w:val="0"/>
          <w:shd w:val="clear" w:color="auto" w:fill="auto"/>
        </w:rPr>
      </w:pPr>
      <w:r>
        <w:rPr>
          <w:rFonts w:hint="eastAsia" w:ascii="仿宋_GB2312" w:hAnsi="仿宋" w:eastAsia="仿宋_GB2312"/>
          <w:sz w:val="32"/>
          <w:szCs w:val="32"/>
          <w:lang w:eastAsia="zh-CN"/>
        </w:rPr>
        <w:t>依据绩效指标指导日常工作，实时监控完成进度，关注过程中存在的问题并及时应对，确保年度完成情况。</w:t>
      </w:r>
      <w:r>
        <w:rPr>
          <w:rFonts w:hint="eastAsia" w:ascii="仿宋_GB2312" w:hAnsi="仿宋" w:eastAsia="仿宋_GB2312"/>
          <w:sz w:val="32"/>
          <w:szCs w:val="32"/>
        </w:rPr>
        <w:t>本单位财务部门及时进行账务处理，在规定的时间内完成决算报表及绩效信息，坚持“以公开为原则，不公开为例外”，严格按照规范要求委托财政局在门户网站公开，主动公开决算及绩效信息，确保信息公开规范、及时、准确。</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w:t>
      </w:r>
      <w:r>
        <w:rPr>
          <w:rFonts w:hint="eastAsia" w:ascii="楷体_GB2312" w:hAnsi="楷体_GB2312" w:eastAsia="楷体_GB2312" w:cs="楷体_GB2312"/>
          <w:b/>
          <w:bCs/>
          <w:color w:val="000000"/>
          <w:kern w:val="0"/>
          <w:sz w:val="32"/>
          <w:szCs w:val="32"/>
          <w:highlight w:val="none"/>
          <w:shd w:val="clear" w:color="auto" w:fill="FFFFFF"/>
          <w:lang w:val="en-US" w:eastAsia="zh-CN"/>
        </w:rPr>
        <w:t>四</w:t>
      </w:r>
      <w:r>
        <w:rPr>
          <w:rFonts w:hint="eastAsia" w:ascii="楷体_GB2312" w:hAnsi="楷体_GB2312" w:eastAsia="楷体_GB2312" w:cs="楷体_GB2312"/>
          <w:b/>
          <w:bCs/>
          <w:color w:val="000000"/>
          <w:kern w:val="0"/>
          <w:sz w:val="32"/>
          <w:szCs w:val="32"/>
          <w:highlight w:val="none"/>
          <w:shd w:val="clear" w:color="auto" w:fill="FFFFFF"/>
          <w:lang w:val="zh-CN"/>
        </w:rPr>
        <w:t>）自评质量。</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color w:val="000000"/>
          <w:spacing w:val="0"/>
          <w:w w:val="100"/>
          <w:position w:val="0"/>
          <w:shd w:val="clear" w:color="auto" w:fill="auto"/>
        </w:rPr>
      </w:pPr>
      <w:r>
        <w:rPr>
          <w:rFonts w:hint="eastAsia" w:ascii="Times New Roman" w:hAnsi="Times New Roman" w:eastAsia="仿宋_GB2312" w:cs="Times New Roman"/>
          <w:color w:val="000000"/>
          <w:kern w:val="0"/>
          <w:sz w:val="32"/>
          <w:szCs w:val="32"/>
          <w:highlight w:val="none"/>
          <w:shd w:val="clear" w:color="auto" w:fill="FFFFFF"/>
          <w:lang w:val="zh-CN"/>
        </w:rPr>
        <w:t>自绩效管理工作开展以来，我院领导对绩效管理工作高度重视。通过合理设置机构，建立健全制度，建立考核体系，合理量化指标，完善考核办法，突出绩效重点，公平、公开、公正的实施考核等工作措施，绩效管理工作整体推进平稳、顺利，运行情况良好。</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rPr>
          <w:rFonts w:ascii="黑体" w:hAnsi="宋体" w:eastAsia="黑体" w:cs="宋体"/>
          <w:color w:val="000000"/>
          <w:kern w:val="0"/>
          <w:sz w:val="32"/>
          <w:szCs w:val="32"/>
          <w:highlight w:val="none"/>
          <w:shd w:val="clear" w:color="auto" w:fill="FFFFFF"/>
        </w:rPr>
      </w:pPr>
      <w:r>
        <w:rPr>
          <w:rFonts w:hint="eastAsia" w:ascii="黑体" w:hAnsi="宋体" w:eastAsia="黑体" w:cs="宋体"/>
          <w:color w:val="000000"/>
          <w:kern w:val="0"/>
          <w:sz w:val="32"/>
          <w:szCs w:val="32"/>
          <w:highlight w:val="none"/>
          <w:shd w:val="clear" w:color="auto" w:fill="FFFFFF"/>
        </w:rPr>
        <w:t>四、评价结论及建议</w:t>
      </w:r>
    </w:p>
    <w:p>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（一）评价结论。</w:t>
      </w:r>
    </w:p>
    <w:p>
      <w:pPr>
        <w:keepNext w:val="0"/>
        <w:keepLines w:val="0"/>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 w:eastAsia="仿宋_GB2312" w:cs="Times New Roman"/>
          <w:sz w:val="32"/>
          <w:szCs w:val="32"/>
          <w:lang w:val="zh-CN" w:eastAsia="zh-CN"/>
        </w:rPr>
      </w:pPr>
      <w:r>
        <w:rPr>
          <w:rFonts w:hint="eastAsia" w:ascii="仿宋_GB2312" w:hAnsi="仿宋" w:eastAsia="仿宋_GB2312" w:cs="Times New Roman"/>
          <w:sz w:val="32"/>
          <w:szCs w:val="32"/>
          <w:lang w:val="zh-CN" w:eastAsia="zh-CN"/>
        </w:rPr>
        <w:t>本院严格按照《预算法》按时完成预决算编制。在执行过程中有计划地进行资金申报、使用，完善资金管理及内部控制制度，确保资金安全，做到账款、账账、账实相符，为沿滩区的公共安全事业提供有效的资金保障。</w:t>
      </w:r>
    </w:p>
    <w:p>
      <w:pPr>
        <w:keepNext w:val="0"/>
        <w:keepLines w:val="0"/>
        <w:pageBreakBefore w:val="0"/>
        <w:widowControl/>
        <w:numPr>
          <w:ilvl w:val="0"/>
          <w:numId w:val="6"/>
        </w:numPr>
        <w:kinsoku/>
        <w:wordWrap/>
        <w:overflowPunct/>
        <w:topLinePunct w:val="0"/>
        <w:autoSpaceDE/>
        <w:autoSpaceDN/>
        <w:bidi w:val="0"/>
        <w:adjustRightInd w:val="0"/>
        <w:snapToGrid w:val="0"/>
        <w:spacing w:line="560" w:lineRule="exact"/>
        <w:ind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存在问题。</w:t>
      </w:r>
    </w:p>
    <w:p>
      <w:pPr>
        <w:keepNext w:val="0"/>
        <w:keepLines w:val="0"/>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 w:eastAsia="仿宋_GB2312" w:cs="Times New Roman"/>
          <w:sz w:val="32"/>
          <w:szCs w:val="32"/>
          <w:lang w:val="zh-CN" w:eastAsia="zh-CN"/>
        </w:rPr>
      </w:pPr>
      <w:r>
        <w:rPr>
          <w:rFonts w:hint="eastAsia" w:ascii="仿宋_GB2312" w:hAnsi="仿宋" w:eastAsia="仿宋_GB2312" w:cs="Times New Roman"/>
          <w:sz w:val="32"/>
          <w:szCs w:val="32"/>
          <w:lang w:val="zh-CN" w:eastAsia="zh-CN"/>
        </w:rPr>
        <w:t>部门整体支出相比专项支出而言，社会效益较好，其他效益指标不明显。业务工作分项需要更加清晰，不能很好地对比支出与成果，进而很难有针对性的发现问题，分析问题，提出解决方案。</w:t>
      </w:r>
    </w:p>
    <w:p>
      <w:pPr>
        <w:keepNext w:val="0"/>
        <w:keepLines w:val="0"/>
        <w:pageBreakBefore w:val="0"/>
        <w:widowControl/>
        <w:numPr>
          <w:ilvl w:val="0"/>
          <w:numId w:val="6"/>
        </w:numPr>
        <w:kinsoku/>
        <w:wordWrap/>
        <w:overflowPunct/>
        <w:topLinePunct w:val="0"/>
        <w:autoSpaceDE/>
        <w:autoSpaceDN/>
        <w:bidi w:val="0"/>
        <w:adjustRightInd w:val="0"/>
        <w:snapToGrid w:val="0"/>
        <w:spacing w:line="560" w:lineRule="exact"/>
        <w:ind w:left="0" w:leftChars="0" w:firstLine="643" w:firstLineChars="200"/>
        <w:contextualSpacing/>
        <w:jc w:val="left"/>
        <w:textAlignment w:val="auto"/>
        <w:rPr>
          <w:rFonts w:hint="eastAsia" w:ascii="楷体_GB2312" w:hAnsi="楷体_GB2312" w:eastAsia="楷体_GB2312" w:cs="楷体_GB2312"/>
          <w:b/>
          <w:bCs/>
          <w:color w:val="000000"/>
          <w:kern w:val="0"/>
          <w:sz w:val="32"/>
          <w:szCs w:val="32"/>
          <w:highlight w:val="none"/>
          <w:shd w:val="clear" w:color="auto" w:fill="FFFFFF"/>
          <w:lang w:val="zh-CN"/>
        </w:rPr>
      </w:pPr>
      <w:r>
        <w:rPr>
          <w:rFonts w:hint="eastAsia" w:ascii="楷体_GB2312" w:hAnsi="楷体_GB2312" w:eastAsia="楷体_GB2312" w:cs="楷体_GB2312"/>
          <w:b/>
          <w:bCs/>
          <w:color w:val="000000"/>
          <w:kern w:val="0"/>
          <w:sz w:val="32"/>
          <w:szCs w:val="32"/>
          <w:highlight w:val="none"/>
          <w:shd w:val="clear" w:color="auto" w:fill="FFFFFF"/>
          <w:lang w:val="zh-CN"/>
        </w:rPr>
        <w:t>改进建议。</w:t>
      </w:r>
    </w:p>
    <w:p>
      <w:pPr>
        <w:keepNext w:val="0"/>
        <w:keepLines w:val="0"/>
        <w:pageBreakBefore w:val="0"/>
        <w:kinsoku/>
        <w:wordWrap/>
        <w:overflowPunct/>
        <w:topLinePunct w:val="0"/>
        <w:autoSpaceDE/>
        <w:autoSpaceDN/>
        <w:bidi w:val="0"/>
        <w:snapToGrid w:val="0"/>
        <w:spacing w:line="560" w:lineRule="exact"/>
        <w:ind w:firstLine="640" w:firstLineChars="200"/>
        <w:textAlignment w:val="auto"/>
        <w:rPr>
          <w:rFonts w:hint="eastAsia" w:ascii="仿宋_GB2312" w:hAnsi="仿宋" w:eastAsia="仿宋_GB2312" w:cs="Times New Roman"/>
          <w:sz w:val="32"/>
          <w:szCs w:val="32"/>
          <w:lang w:val="zh-CN" w:eastAsia="zh-CN"/>
        </w:rPr>
      </w:pPr>
      <w:r>
        <w:rPr>
          <w:rFonts w:hint="eastAsia" w:ascii="仿宋_GB2312" w:hAnsi="仿宋" w:eastAsia="仿宋_GB2312" w:cs="Times New Roman"/>
          <w:sz w:val="32"/>
          <w:szCs w:val="32"/>
          <w:lang w:val="zh-CN" w:eastAsia="zh-CN"/>
        </w:rPr>
        <w:t>学习如何科学合理制定绩效目标及考核体系，充分发挥绩效工作效用。对于能细分、归总的业务工作，效仿专项支出进行管理，以便更好地进行绩效评价，发现不足，提出改进。财务上，会计核算要更加详细，为本单位各项工作的开展、总结、评估提供有效数据资料支撑，为各项业务工作更好的开展提供帮助。</w:t>
      </w:r>
    </w:p>
    <w:p>
      <w:pPr>
        <w:pStyle w:val="2"/>
        <w:numPr>
          <w:ilvl w:val="0"/>
          <w:numId w:val="0"/>
        </w:numPr>
        <w:ind w:leftChars="200"/>
        <w:rPr>
          <w:rFonts w:hint="eastAsia"/>
          <w:lang w:val="zh-CN"/>
        </w:rPr>
      </w:pPr>
    </w:p>
    <w:p>
      <w:pPr>
        <w:keepNext w:val="0"/>
        <w:keepLines w:val="0"/>
        <w:widowControl w:val="0"/>
        <w:suppressLineNumbers w:val="0"/>
        <w:spacing w:before="0" w:beforeAutospacing="0" w:after="0" w:afterAutospacing="0" w:line="580" w:lineRule="exact"/>
        <w:ind w:left="0" w:right="0"/>
        <w:jc w:val="both"/>
        <w:outlineLvl w:val="9"/>
        <w:rPr>
          <w:rFonts w:hint="eastAsia" w:ascii="Times New Roman" w:hAnsi="Times New Roman" w:eastAsia="黑体" w:cs="黑体"/>
          <w:kern w:val="2"/>
          <w:sz w:val="32"/>
          <w:szCs w:val="24"/>
          <w:lang w:val="en-US" w:eastAsia="zh-CN" w:bidi="ar"/>
        </w:rPr>
      </w:pPr>
    </w:p>
    <w:p>
      <w:pPr>
        <w:keepNext w:val="0"/>
        <w:keepLines w:val="0"/>
        <w:widowControl w:val="0"/>
        <w:suppressLineNumbers w:val="0"/>
        <w:spacing w:before="0" w:beforeAutospacing="0" w:after="0" w:afterAutospacing="0" w:line="580" w:lineRule="exact"/>
        <w:ind w:left="0" w:right="0"/>
        <w:jc w:val="both"/>
        <w:outlineLvl w:val="9"/>
        <w:rPr>
          <w:rFonts w:hint="eastAsia" w:ascii="Times New Roman" w:hAnsi="Times New Roman" w:eastAsia="黑体" w:cs="黑体"/>
          <w:kern w:val="2"/>
          <w:sz w:val="32"/>
          <w:szCs w:val="24"/>
          <w:lang w:val="en-US" w:eastAsia="zh-CN" w:bidi="ar"/>
        </w:rPr>
      </w:pPr>
    </w:p>
    <w:p>
      <w:pPr>
        <w:keepNext w:val="0"/>
        <w:keepLines w:val="0"/>
        <w:widowControl w:val="0"/>
        <w:suppressLineNumbers w:val="0"/>
        <w:spacing w:before="0" w:beforeAutospacing="0" w:after="0" w:afterAutospacing="0" w:line="580" w:lineRule="exact"/>
        <w:ind w:left="0" w:right="0"/>
        <w:jc w:val="both"/>
        <w:outlineLvl w:val="9"/>
        <w:rPr>
          <w:rFonts w:hint="eastAsia" w:ascii="Times New Roman" w:hAnsi="Times New Roman" w:eastAsia="黑体" w:cs="黑体"/>
          <w:kern w:val="2"/>
          <w:sz w:val="32"/>
          <w:szCs w:val="24"/>
          <w:lang w:val="en-US" w:eastAsia="zh-CN" w:bidi="ar"/>
        </w:rPr>
      </w:pPr>
    </w:p>
    <w:p>
      <w:pPr>
        <w:keepNext w:val="0"/>
        <w:keepLines w:val="0"/>
        <w:widowControl w:val="0"/>
        <w:suppressLineNumbers w:val="0"/>
        <w:spacing w:before="0" w:beforeAutospacing="0" w:after="0" w:afterAutospacing="0" w:line="580" w:lineRule="exact"/>
        <w:ind w:left="0" w:right="0"/>
        <w:jc w:val="both"/>
        <w:outlineLvl w:val="9"/>
        <w:rPr>
          <w:rFonts w:hint="eastAsia" w:ascii="Times New Roman" w:hAnsi="Times New Roman" w:eastAsia="黑体" w:cs="黑体"/>
          <w:kern w:val="2"/>
          <w:sz w:val="32"/>
          <w:szCs w:val="24"/>
          <w:lang w:val="en-US" w:eastAsia="zh-CN" w:bidi="ar"/>
        </w:rPr>
      </w:pPr>
    </w:p>
    <w:p>
      <w:pPr>
        <w:keepNext w:val="0"/>
        <w:keepLines w:val="0"/>
        <w:widowControl w:val="0"/>
        <w:suppressLineNumbers w:val="0"/>
        <w:spacing w:before="0" w:beforeAutospacing="0" w:after="0" w:afterAutospacing="0" w:line="580" w:lineRule="exact"/>
        <w:ind w:left="0" w:right="0"/>
        <w:jc w:val="both"/>
        <w:outlineLvl w:val="9"/>
        <w:rPr>
          <w:rFonts w:hint="default" w:eastAsia="黑体"/>
          <w:lang w:val="en-US"/>
        </w:rPr>
      </w:pPr>
      <w:r>
        <w:rPr>
          <w:rFonts w:hint="eastAsia" w:ascii="Times New Roman" w:hAnsi="Times New Roman" w:eastAsia="黑体" w:cs="黑体"/>
          <w:kern w:val="2"/>
          <w:sz w:val="32"/>
          <w:szCs w:val="24"/>
          <w:lang w:val="en-US" w:eastAsia="zh-CN" w:bidi="ar"/>
        </w:rPr>
        <w:t>附件</w:t>
      </w:r>
      <w:r>
        <w:rPr>
          <w:rFonts w:hint="eastAsia" w:eastAsia="黑体" w:cs="黑体"/>
          <w:kern w:val="2"/>
          <w:sz w:val="32"/>
          <w:szCs w:val="24"/>
          <w:lang w:val="en-US" w:eastAsia="zh-CN" w:bidi="ar"/>
        </w:rPr>
        <w:t>2</w:t>
      </w:r>
    </w:p>
    <w:p>
      <w:pPr>
        <w:keepNext w:val="0"/>
        <w:keepLines w:val="0"/>
        <w:widowControl w:val="0"/>
        <w:suppressLineNumbers w:val="0"/>
        <w:tabs>
          <w:tab w:val="left" w:pos="1440"/>
        </w:tabs>
        <w:spacing w:before="0" w:beforeAutospacing="0" w:after="0" w:afterAutospacing="0" w:line="580" w:lineRule="exact"/>
        <w:ind w:left="0" w:right="0"/>
        <w:jc w:val="both"/>
        <w:rPr>
          <w:rFonts w:ascii="Times New Roman" w:hAnsi="Times New Roman" w:eastAsia="宋体" w:cs="Times New Roman"/>
          <w:sz w:val="30"/>
          <w:szCs w:val="30"/>
          <w:lang w:val="en-US"/>
        </w:rPr>
      </w:pPr>
    </w:p>
    <w:p>
      <w:pPr>
        <w:pStyle w:val="21"/>
        <w:widowControl/>
        <w:spacing w:line="580" w:lineRule="exact"/>
        <w:ind w:left="0" w:firstLine="883"/>
        <w:jc w:val="center"/>
        <w:rPr>
          <w:rFonts w:hint="default" w:ascii="Times New Roman" w:hAnsi="Times New Roman" w:eastAsia="仿宋_GB2312" w:cs="Times New Roman"/>
          <w:color w:val="auto"/>
          <w:kern w:val="2"/>
          <w:sz w:val="32"/>
          <w:szCs w:val="32"/>
        </w:rPr>
      </w:pPr>
      <w:r>
        <w:rPr>
          <w:rFonts w:hint="eastAsia" w:ascii="Times New Roman" w:hAnsi="Times New Roman" w:eastAsia="方正小标宋简体" w:cs="方正小标宋简体"/>
          <w:sz w:val="44"/>
          <w:szCs w:val="44"/>
        </w:rPr>
        <w:t>项目支出绩效</w:t>
      </w:r>
      <w:r>
        <w:rPr>
          <w:rFonts w:hint="eastAsia" w:ascii="Times New Roman" w:hAnsi="Times New Roman" w:eastAsia="方正小标宋简体" w:cs="方正小标宋简体"/>
          <w:sz w:val="44"/>
          <w:szCs w:val="44"/>
          <w:lang w:val="en-US" w:eastAsia="zh-CN"/>
        </w:rPr>
        <w:t>自评</w:t>
      </w:r>
      <w:r>
        <w:rPr>
          <w:rFonts w:hint="eastAsia" w:ascii="Times New Roman" w:hAnsi="Times New Roman" w:eastAsia="方正小标宋简体" w:cs="方正小标宋简体"/>
          <w:sz w:val="44"/>
          <w:szCs w:val="44"/>
        </w:rPr>
        <w:t>报告</w:t>
      </w:r>
    </w:p>
    <w:p>
      <w:pPr>
        <w:keepNext w:val="0"/>
        <w:keepLines w:val="0"/>
        <w:widowControl w:val="0"/>
        <w:suppressLineNumbers w:val="0"/>
        <w:spacing w:before="0" w:beforeAutospacing="0" w:after="0" w:afterAutospacing="0" w:line="580" w:lineRule="exact"/>
        <w:ind w:left="0" w:right="0"/>
        <w:jc w:val="center"/>
        <w:rPr>
          <w:rFonts w:hint="eastAsia" w:ascii="Times New Roman" w:hAnsi="Times New Roman" w:eastAsia="黑体" w:cs="黑体"/>
          <w:kern w:val="2"/>
          <w:sz w:val="32"/>
          <w:szCs w:val="24"/>
          <w:lang w:val="en-US" w:eastAsia="zh-CN" w:bidi="ar"/>
        </w:rPr>
      </w:pPr>
      <w:r>
        <w:rPr>
          <w:rFonts w:hint="eastAsia" w:ascii="Times New Roman" w:hAnsi="Times New Roman" w:eastAsia="仿宋_GB2312" w:cs="仿宋_GB2312"/>
          <w:kern w:val="2"/>
          <w:sz w:val="32"/>
          <w:szCs w:val="24"/>
          <w:lang w:val="en-US" w:eastAsia="zh-CN" w:bidi="ar"/>
        </w:rPr>
        <w:t>（</w:t>
      </w:r>
      <w:r>
        <w:rPr>
          <w:rFonts w:hint="eastAsia" w:cs="仿宋_GB2312"/>
          <w:kern w:val="2"/>
          <w:sz w:val="32"/>
          <w:szCs w:val="24"/>
          <w:lang w:val="en-US" w:eastAsia="zh-CN" w:bidi="ar"/>
        </w:rPr>
        <w:t>沿滩检察院办案用房和专业技术用房信息化建设项目</w:t>
      </w:r>
      <w:r>
        <w:rPr>
          <w:rFonts w:hint="eastAsia" w:ascii="Times New Roman" w:hAnsi="Times New Roman" w:eastAsia="仿宋_GB2312" w:cs="仿宋_GB2312"/>
          <w:kern w:val="2"/>
          <w:sz w:val="32"/>
          <w:szCs w:val="24"/>
          <w:lang w:val="en-US" w:eastAsia="zh-CN" w:bidi="ar"/>
        </w:rPr>
        <w:t>）</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ascii="Times New Roman" w:hAnsi="Times New Roman" w:eastAsia="黑体" w:cs="Times New Roman"/>
          <w:sz w:val="32"/>
          <w:lang w:val="zh-CN" w:eastAsia="zh-CN"/>
        </w:rPr>
      </w:pPr>
      <w:r>
        <w:rPr>
          <w:rFonts w:hint="eastAsia" w:ascii="Times New Roman" w:hAnsi="Times New Roman" w:eastAsia="黑体" w:cs="黑体"/>
          <w:kern w:val="2"/>
          <w:sz w:val="32"/>
          <w:szCs w:val="24"/>
          <w:lang w:val="en-US" w:eastAsia="zh-CN" w:bidi="ar"/>
        </w:rPr>
        <w:t>一、</w:t>
      </w:r>
      <w:r>
        <w:rPr>
          <w:rFonts w:hint="eastAsia" w:ascii="Times New Roman" w:hAnsi="Times New Roman" w:eastAsia="黑体" w:cs="黑体"/>
          <w:kern w:val="2"/>
          <w:sz w:val="32"/>
          <w:szCs w:val="24"/>
          <w:lang w:val="zh-CN" w:eastAsia="zh-CN" w:bidi="ar"/>
        </w:rPr>
        <w:t>项目概况</w:t>
      </w:r>
    </w:p>
    <w:p>
      <w:pPr>
        <w:keepNext w:val="0"/>
        <w:keepLines w:val="0"/>
        <w:widowControl w:val="0"/>
        <w:numPr>
          <w:ilvl w:val="0"/>
          <w:numId w:val="7"/>
        </w:numPr>
        <w:suppressLineNumbers w:val="0"/>
        <w:adjustRightInd w:val="0"/>
        <w:snapToGrid w:val="0"/>
        <w:spacing w:before="0" w:beforeAutospacing="0" w:after="0" w:afterAutospacing="0" w:line="580" w:lineRule="exact"/>
        <w:ind w:left="0" w:right="0" w:firstLine="720"/>
        <w:jc w:val="both"/>
        <w:rPr>
          <w:rFonts w:ascii="Times New Roman" w:hAnsi="Times New Roman" w:eastAsia="仿宋_GB2312" w:cs="Times New Roman"/>
          <w:sz w:val="32"/>
          <w:lang w:val="zh-CN" w:eastAsia="zh-CN"/>
        </w:rPr>
      </w:pPr>
      <w:r>
        <w:rPr>
          <w:rFonts w:hint="eastAsia" w:ascii="Times New Roman" w:hAnsi="Times New Roman" w:eastAsia="楷体_GB2312" w:cs="楷体_GB2312"/>
          <w:b w:val="0"/>
          <w:bCs/>
          <w:kern w:val="2"/>
          <w:sz w:val="32"/>
          <w:szCs w:val="24"/>
          <w:lang w:val="zh-CN" w:eastAsia="zh-CN" w:bidi="ar"/>
        </w:rPr>
        <w:t>项目资金申报及批复情况</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80" w:lineRule="exact"/>
        <w:ind w:left="0" w:leftChars="0" w:right="0" w:rightChars="0" w:firstLine="640" w:firstLineChars="200"/>
        <w:jc w:val="both"/>
        <w:textAlignment w:val="auto"/>
        <w:rPr>
          <w:rFonts w:ascii="Times New Roman" w:hAnsi="Times New Roman" w:eastAsia="仿宋_GB2312" w:cs="Times New Roman"/>
          <w:sz w:val="32"/>
          <w:lang w:val="zh-CN" w:eastAsia="zh-CN"/>
        </w:rPr>
      </w:pPr>
      <w:r>
        <w:rPr>
          <w:rFonts w:hint="eastAsia" w:ascii="Times New Roman" w:hAnsi="Times New Roman" w:eastAsia="仿宋_GB2312" w:cs="仿宋_GB2312"/>
          <w:kern w:val="2"/>
          <w:sz w:val="32"/>
          <w:szCs w:val="24"/>
          <w:lang w:val="en-US" w:eastAsia="zh-CN" w:bidi="ar"/>
        </w:rPr>
        <w:t>2021年7月，沿滩区检察院</w:t>
      </w:r>
      <w:r>
        <w:rPr>
          <w:rFonts w:hint="eastAsia" w:cs="仿宋_GB2312"/>
          <w:kern w:val="2"/>
          <w:sz w:val="32"/>
          <w:szCs w:val="24"/>
          <w:lang w:val="en-US" w:eastAsia="zh-CN" w:bidi="ar"/>
        </w:rPr>
        <w:t>申请对</w:t>
      </w:r>
      <w:r>
        <w:rPr>
          <w:rFonts w:hint="eastAsia" w:ascii="Times New Roman" w:hAnsi="Times New Roman" w:eastAsia="仿宋_GB2312" w:cs="仿宋_GB2312"/>
          <w:kern w:val="2"/>
          <w:sz w:val="32"/>
          <w:szCs w:val="24"/>
          <w:lang w:val="en-US" w:eastAsia="zh-CN" w:bidi="ar"/>
        </w:rPr>
        <w:t>办案用房和专业技术用房</w:t>
      </w:r>
      <w:r>
        <w:rPr>
          <w:rFonts w:hint="eastAsia" w:cs="仿宋_GB2312"/>
          <w:kern w:val="2"/>
          <w:sz w:val="32"/>
          <w:szCs w:val="24"/>
          <w:lang w:val="en-US" w:eastAsia="zh-CN" w:bidi="ar"/>
        </w:rPr>
        <w:t>进行</w:t>
      </w:r>
      <w:r>
        <w:rPr>
          <w:rFonts w:hint="eastAsia" w:ascii="Times New Roman" w:hAnsi="Times New Roman" w:eastAsia="仿宋_GB2312" w:cs="仿宋_GB2312"/>
          <w:kern w:val="2"/>
          <w:sz w:val="32"/>
          <w:szCs w:val="24"/>
          <w:lang w:val="en-US" w:eastAsia="zh-CN" w:bidi="ar"/>
        </w:rPr>
        <w:t>安全隐患整改、功能完善</w:t>
      </w:r>
      <w:r>
        <w:rPr>
          <w:rFonts w:hint="eastAsia" w:cs="仿宋_GB2312"/>
          <w:kern w:val="2"/>
          <w:sz w:val="32"/>
          <w:szCs w:val="24"/>
          <w:lang w:val="en-US" w:eastAsia="zh-CN" w:bidi="ar"/>
        </w:rPr>
        <w:t>和</w:t>
      </w:r>
      <w:r>
        <w:rPr>
          <w:rFonts w:hint="eastAsia" w:ascii="Times New Roman" w:hAnsi="Times New Roman" w:eastAsia="仿宋_GB2312" w:cs="仿宋_GB2312"/>
          <w:kern w:val="2"/>
          <w:sz w:val="32"/>
          <w:szCs w:val="24"/>
          <w:lang w:val="en-US" w:eastAsia="zh-CN" w:bidi="ar"/>
        </w:rPr>
        <w:t>信息化建设</w:t>
      </w:r>
      <w:r>
        <w:rPr>
          <w:rFonts w:hint="eastAsia" w:cs="仿宋_GB2312"/>
          <w:kern w:val="2"/>
          <w:sz w:val="32"/>
          <w:szCs w:val="24"/>
          <w:lang w:val="en-US" w:eastAsia="zh-CN" w:bidi="ar"/>
        </w:rPr>
        <w:t>，2021年7月6日，沿滩区财政局对该项目出具了财政审查意见，2021年7月12日，该项目通过沿滩区委财经委员会2021年第7次会议，2021年9月7日通过沿滩区政府2021年第66次常务会议，2021年11月8日十三届沿滩区委常委会第8次会议审议同意组织实施，项目资金总预算300万元，由沿滩区财政承担。项目分为工程类、服务费、货物类三个标段，服务类标段即</w:t>
      </w:r>
      <w:r>
        <w:rPr>
          <w:rFonts w:hint="eastAsia" w:ascii="Times New Roman" w:hAnsi="Times New Roman" w:eastAsia="仿宋_GB2312" w:cs="仿宋_GB2312"/>
          <w:kern w:val="2"/>
          <w:sz w:val="32"/>
          <w:szCs w:val="24"/>
          <w:lang w:val="en-US" w:eastAsia="zh-CN" w:bidi="ar"/>
        </w:rPr>
        <w:t>办案用房和专业技术用房</w:t>
      </w:r>
      <w:r>
        <w:rPr>
          <w:rFonts w:hint="eastAsia" w:cs="仿宋_GB2312"/>
          <w:kern w:val="2"/>
          <w:sz w:val="32"/>
          <w:szCs w:val="24"/>
          <w:lang w:val="en-US" w:eastAsia="zh-CN" w:bidi="ar"/>
        </w:rPr>
        <w:t>改造升级项目（信息化建设标段）。2022年1月1日，区县法检财物统一管理改革后，</w:t>
      </w:r>
      <w:r>
        <w:rPr>
          <w:rFonts w:hint="eastAsia" w:ascii="Times New Roman" w:hAnsi="Times New Roman" w:eastAsia="仿宋_GB2312" w:cs="仿宋_GB2312"/>
          <w:kern w:val="2"/>
          <w:sz w:val="32"/>
          <w:szCs w:val="24"/>
          <w:lang w:val="en-US" w:eastAsia="zh-CN" w:bidi="ar"/>
        </w:rPr>
        <w:t>办案用房和专业技术用房</w:t>
      </w:r>
      <w:r>
        <w:rPr>
          <w:rFonts w:hint="eastAsia" w:cs="仿宋_GB2312"/>
          <w:kern w:val="2"/>
          <w:sz w:val="32"/>
          <w:szCs w:val="24"/>
          <w:lang w:val="en-US" w:eastAsia="zh-CN" w:bidi="ar"/>
        </w:rPr>
        <w:t>改造升级项目（信息化建设标段）委托自贡市政府采购中心进行采购，2022年4月13日开标，中标单位：四川省金伟融城科技有限公司，中标价格：152.5万元，合同签订时间：2022年5</w:t>
      </w:r>
      <w:r>
        <w:rPr>
          <w:rFonts w:hint="eastAsia" w:cs="仿宋_GB2312"/>
          <w:color w:val="auto"/>
          <w:kern w:val="2"/>
          <w:sz w:val="32"/>
          <w:szCs w:val="24"/>
          <w:lang w:val="en-US" w:eastAsia="zh-CN" w:bidi="ar"/>
        </w:rPr>
        <w:t>月10</w:t>
      </w:r>
      <w:r>
        <w:rPr>
          <w:rFonts w:hint="eastAsia" w:cs="仿宋_GB2312"/>
          <w:kern w:val="2"/>
          <w:sz w:val="32"/>
          <w:szCs w:val="24"/>
          <w:lang w:val="en-US" w:eastAsia="zh-CN" w:bidi="ar"/>
        </w:rPr>
        <w:t>日。</w:t>
      </w:r>
    </w:p>
    <w:p>
      <w:pPr>
        <w:keepNext w:val="0"/>
        <w:keepLines w:val="0"/>
        <w:widowControl w:val="0"/>
        <w:numPr>
          <w:ilvl w:val="0"/>
          <w:numId w:val="7"/>
        </w:numPr>
        <w:suppressLineNumbers w:val="0"/>
        <w:adjustRightInd w:val="0"/>
        <w:snapToGrid w:val="0"/>
        <w:spacing w:before="0" w:beforeAutospacing="0" w:after="0" w:afterAutospacing="0" w:line="580" w:lineRule="exact"/>
        <w:ind w:left="0" w:leftChars="0" w:right="0" w:rightChars="0" w:firstLine="720" w:firstLineChars="0"/>
        <w:jc w:val="both"/>
        <w:rPr>
          <w:rFonts w:hint="eastAsia" w:ascii="Times New Roman" w:hAnsi="Times New Roman" w:eastAsia="楷体_GB2312" w:cs="楷体_GB2312"/>
          <w:b w:val="0"/>
          <w:bCs/>
          <w:kern w:val="2"/>
          <w:sz w:val="32"/>
          <w:szCs w:val="24"/>
          <w:lang w:val="zh-CN" w:eastAsia="zh-CN" w:bidi="ar"/>
        </w:rPr>
      </w:pPr>
      <w:r>
        <w:rPr>
          <w:rFonts w:hint="eastAsia" w:ascii="Times New Roman" w:hAnsi="Times New Roman" w:eastAsia="楷体_GB2312" w:cs="楷体_GB2312"/>
          <w:b w:val="0"/>
          <w:bCs/>
          <w:kern w:val="2"/>
          <w:sz w:val="32"/>
          <w:szCs w:val="24"/>
          <w:lang w:val="zh-CN" w:eastAsia="zh-CN" w:bidi="ar"/>
        </w:rPr>
        <w:t>项目绩效目标</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80" w:lineRule="exact"/>
        <w:ind w:left="0" w:leftChars="0" w:right="0" w:rightChars="0" w:firstLine="640" w:firstLineChars="200"/>
        <w:jc w:val="both"/>
        <w:textAlignment w:val="auto"/>
        <w:rPr>
          <w:rFonts w:ascii="Times New Roman" w:hAnsi="Times New Roman" w:eastAsia="仿宋_GB2312" w:cs="Times New Roman"/>
          <w:sz w:val="32"/>
          <w:lang w:val="zh-CN" w:eastAsia="zh-CN"/>
        </w:rPr>
      </w:pPr>
      <w:r>
        <w:rPr>
          <w:rFonts w:hint="eastAsia" w:ascii="Times New Roman" w:hAnsi="Times New Roman" w:eastAsia="仿宋_GB2312" w:cs="仿宋_GB2312"/>
          <w:kern w:val="2"/>
          <w:sz w:val="32"/>
          <w:szCs w:val="24"/>
          <w:lang w:val="en-US" w:eastAsia="zh-CN" w:bidi="ar"/>
        </w:rPr>
        <w:t>办案用房和专业技术用房</w:t>
      </w:r>
      <w:r>
        <w:rPr>
          <w:rFonts w:hint="eastAsia" w:cs="仿宋_GB2312"/>
          <w:kern w:val="2"/>
          <w:sz w:val="32"/>
          <w:szCs w:val="24"/>
          <w:lang w:val="en-US" w:eastAsia="zh-CN" w:bidi="ar"/>
        </w:rPr>
        <w:t>改造升级项目（信息化建设标段）包括同步录音录像系统、办案办公区域安全管理系统、远程提讯系统、检委会显示分析系统、检察信息化综合集成系统等7个部分，针对检察官和法警两大类型用户，提供包括人员、场所和办案业务三方面的管控，覆盖办案区内各功能房间及其涉及的业务，如本地讯（询）问、远程提审、听证等。同时，融合人脸识别技术、ReID技术、物联网技术等，实现人员管控轨迹化、同步录音录像高清化、办案区全程视频化，在提升检察官办案质效的同时，保障办案区安全。根据项目情况，设置了数量指标、效果指标、时效指标、社会效益指标、可持续影响指标，以反映项目任务要求及达成效果。</w:t>
      </w:r>
    </w:p>
    <w:p>
      <w:pPr>
        <w:keepNext w:val="0"/>
        <w:keepLines w:val="0"/>
        <w:widowControl w:val="0"/>
        <w:numPr>
          <w:ilvl w:val="0"/>
          <w:numId w:val="7"/>
        </w:numPr>
        <w:suppressLineNumbers w:val="0"/>
        <w:adjustRightInd w:val="0"/>
        <w:snapToGrid w:val="0"/>
        <w:spacing w:before="0" w:beforeAutospacing="0" w:after="0" w:afterAutospacing="0" w:line="580" w:lineRule="exact"/>
        <w:ind w:left="0" w:leftChars="0" w:right="0" w:firstLine="720" w:firstLineChars="0"/>
        <w:jc w:val="both"/>
        <w:rPr>
          <w:rFonts w:hint="eastAsia" w:ascii="Times New Roman" w:hAnsi="Times New Roman" w:eastAsia="楷体_GB2312" w:cs="楷体_GB2312"/>
          <w:b w:val="0"/>
          <w:bCs/>
          <w:kern w:val="2"/>
          <w:sz w:val="32"/>
          <w:szCs w:val="24"/>
          <w:lang w:val="zh-CN" w:eastAsia="zh-CN" w:bidi="ar"/>
        </w:rPr>
      </w:pPr>
      <w:r>
        <w:rPr>
          <w:rFonts w:hint="eastAsia" w:ascii="Times New Roman" w:hAnsi="Times New Roman" w:eastAsia="楷体_GB2312" w:cs="楷体_GB2312"/>
          <w:b w:val="0"/>
          <w:bCs/>
          <w:kern w:val="2"/>
          <w:sz w:val="32"/>
          <w:szCs w:val="24"/>
          <w:lang w:val="zh-CN" w:eastAsia="zh-CN" w:bidi="ar"/>
        </w:rPr>
        <w:t>项目资金申报相符性</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80" w:lineRule="exact"/>
        <w:ind w:left="0" w:leftChars="0" w:right="0" w:rightChars="0" w:firstLine="640" w:firstLineChars="200"/>
        <w:jc w:val="both"/>
        <w:textAlignment w:val="auto"/>
        <w:rPr>
          <w:rFonts w:ascii="Times New Roman" w:hAnsi="Times New Roman" w:eastAsia="仿宋_GB2312" w:cs="Times New Roman"/>
          <w:sz w:val="32"/>
          <w:lang w:val="zh-CN" w:eastAsia="zh-CN"/>
        </w:rPr>
      </w:pPr>
      <w:r>
        <w:rPr>
          <w:rFonts w:hint="eastAsia" w:ascii="Times New Roman" w:hAnsi="Times New Roman" w:eastAsia="仿宋_GB2312" w:cs="仿宋_GB2312"/>
          <w:kern w:val="2"/>
          <w:sz w:val="32"/>
          <w:szCs w:val="24"/>
          <w:lang w:val="zh-CN" w:eastAsia="zh-CN" w:bidi="ar"/>
        </w:rPr>
        <w:t>项目申报内容与具体实施内容相符</w:t>
      </w:r>
      <w:r>
        <w:rPr>
          <w:rFonts w:hint="eastAsia" w:cs="仿宋_GB2312"/>
          <w:kern w:val="2"/>
          <w:sz w:val="32"/>
          <w:szCs w:val="24"/>
          <w:lang w:val="zh-CN" w:eastAsia="zh-CN" w:bidi="ar"/>
        </w:rPr>
        <w:t>，</w:t>
      </w:r>
      <w:r>
        <w:rPr>
          <w:rFonts w:hint="eastAsia" w:ascii="Times New Roman" w:hAnsi="Times New Roman" w:eastAsia="仿宋_GB2312" w:cs="仿宋_GB2312"/>
          <w:kern w:val="2"/>
          <w:sz w:val="32"/>
          <w:szCs w:val="24"/>
          <w:lang w:val="zh-CN" w:eastAsia="zh-CN" w:bidi="ar"/>
        </w:rPr>
        <w:t>申报目标合理可行</w:t>
      </w:r>
      <w:r>
        <w:rPr>
          <w:rFonts w:hint="eastAsia" w:cs="仿宋_GB2312"/>
          <w:kern w:val="2"/>
          <w:sz w:val="32"/>
          <w:szCs w:val="24"/>
          <w:lang w:val="zh-CN" w:eastAsia="zh-CN" w:bidi="ar"/>
        </w:rPr>
        <w:t>，综合集成了人员管理、场所管理、审讯、案件管理、视频监控、门禁管理等多个应用模块，将各基层模块及硬件设备打通，实现了办公办案区的全程统一管理</w:t>
      </w:r>
      <w:r>
        <w:rPr>
          <w:rFonts w:hint="eastAsia" w:ascii="Times New Roman" w:hAnsi="Times New Roman" w:eastAsia="仿宋_GB2312" w:cs="仿宋_GB2312"/>
          <w:kern w:val="2"/>
          <w:sz w:val="32"/>
          <w:szCs w:val="24"/>
          <w:lang w:val="zh-CN" w:eastAsia="zh-CN" w:bidi="ar"/>
        </w:rPr>
        <w:t>。</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ascii="Times New Roman" w:hAnsi="Times New Roman" w:eastAsia="黑体" w:cs="Times New Roman"/>
          <w:color w:val="auto"/>
          <w:sz w:val="32"/>
          <w:lang w:val="en-US"/>
        </w:rPr>
      </w:pPr>
      <w:r>
        <w:rPr>
          <w:rFonts w:hint="eastAsia" w:ascii="Times New Roman" w:hAnsi="Times New Roman" w:eastAsia="黑体" w:cs="黑体"/>
          <w:color w:val="auto"/>
          <w:kern w:val="2"/>
          <w:sz w:val="32"/>
          <w:szCs w:val="24"/>
          <w:lang w:val="en-US" w:eastAsia="zh-CN" w:bidi="ar"/>
        </w:rPr>
        <w:t>二、项目实施及管理情况</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ascii="Times New Roman" w:hAnsi="Times New Roman" w:eastAsia="楷体_GB2312" w:cs="Times New Roman"/>
          <w:b w:val="0"/>
          <w:bCs w:val="0"/>
          <w:color w:val="auto"/>
          <w:sz w:val="32"/>
          <w:lang w:val="zh-CN" w:eastAsia="zh-CN"/>
        </w:rPr>
      </w:pPr>
      <w:r>
        <w:rPr>
          <w:rFonts w:hint="default" w:ascii="Times New Roman" w:hAnsi="Times New Roman" w:eastAsia="仿宋_GB2312" w:cs="Times New Roman"/>
          <w:b w:val="0"/>
          <w:bCs w:val="0"/>
          <w:color w:val="auto"/>
          <w:kern w:val="2"/>
          <w:sz w:val="32"/>
          <w:szCs w:val="24"/>
          <w:lang w:val="zh-CN" w:eastAsia="zh-CN" w:bidi="ar"/>
        </w:rPr>
        <w:tab/>
      </w:r>
      <w:r>
        <w:rPr>
          <w:rFonts w:hint="eastAsia" w:ascii="Times New Roman" w:hAnsi="Times New Roman" w:eastAsia="楷体_GB2312" w:cs="楷体_GB2312"/>
          <w:b w:val="0"/>
          <w:bCs w:val="0"/>
          <w:color w:val="auto"/>
          <w:kern w:val="2"/>
          <w:sz w:val="32"/>
          <w:szCs w:val="24"/>
          <w:lang w:val="zh-CN" w:eastAsia="zh-CN" w:bidi="ar"/>
        </w:rPr>
        <w:t>（一）资金计划、到位及使用情况</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Times New Roman" w:hAnsi="Times New Roman" w:eastAsia="楷体_GB2312" w:cs="楷体_GB2312"/>
          <w:color w:val="auto"/>
          <w:kern w:val="2"/>
          <w:sz w:val="32"/>
          <w:szCs w:val="24"/>
          <w:lang w:val="zh-CN" w:eastAsia="zh-CN" w:bidi="ar"/>
        </w:rPr>
      </w:pPr>
      <w:r>
        <w:rPr>
          <w:rFonts w:hint="default" w:ascii="Times New Roman" w:hAnsi="Times New Roman" w:eastAsia="楷体_GB2312" w:cs="Times New Roman"/>
          <w:color w:val="auto"/>
          <w:kern w:val="2"/>
          <w:sz w:val="32"/>
          <w:szCs w:val="24"/>
          <w:lang w:val="zh-CN" w:eastAsia="zh-CN" w:bidi="ar"/>
        </w:rPr>
        <w:t>1</w:t>
      </w:r>
      <w:r>
        <w:rPr>
          <w:rFonts w:hint="eastAsia" w:ascii="Times New Roman" w:hAnsi="Times New Roman" w:eastAsia="楷体_GB2312" w:cs="楷体_GB2312"/>
          <w:color w:val="auto"/>
          <w:kern w:val="2"/>
          <w:sz w:val="32"/>
          <w:szCs w:val="24"/>
          <w:lang w:val="zh-CN" w:eastAsia="zh-CN" w:bidi="ar"/>
        </w:rPr>
        <w:t>．资金计划及到位</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default" w:ascii="Times New Roman" w:hAnsi="Times New Roman" w:eastAsia="仿宋_GB2312" w:cs="Times New Roman"/>
          <w:color w:val="auto"/>
          <w:sz w:val="32"/>
          <w:lang w:val="en-US" w:eastAsia="zh-CN"/>
        </w:rPr>
      </w:pPr>
      <w:r>
        <w:rPr>
          <w:rFonts w:hint="eastAsia" w:ascii="Times New Roman" w:hAnsi="Times New Roman" w:eastAsia="仿宋_GB2312" w:cs="仿宋_GB2312"/>
          <w:color w:val="auto"/>
          <w:kern w:val="2"/>
          <w:sz w:val="32"/>
          <w:szCs w:val="24"/>
          <w:lang w:val="zh-CN" w:eastAsia="zh-CN" w:bidi="ar"/>
        </w:rPr>
        <w:t>该项目</w:t>
      </w:r>
      <w:r>
        <w:rPr>
          <w:rFonts w:hint="eastAsia" w:cs="仿宋_GB2312"/>
          <w:color w:val="auto"/>
          <w:kern w:val="2"/>
          <w:sz w:val="32"/>
          <w:szCs w:val="24"/>
          <w:lang w:val="en-US" w:eastAsia="zh-CN" w:bidi="ar"/>
        </w:rPr>
        <w:t>中标价格152.5万元，资金由沿滩区财政保障。2022年第一阶段预算资金30万元，全部到位且到位及时。</w:t>
      </w:r>
    </w:p>
    <w:p>
      <w:pPr>
        <w:keepNext w:val="0"/>
        <w:keepLines w:val="0"/>
        <w:widowControl w:val="0"/>
        <w:numPr>
          <w:ilvl w:val="0"/>
          <w:numId w:val="8"/>
        </w:numPr>
        <w:suppressLineNumbers w:val="0"/>
        <w:adjustRightInd w:val="0"/>
        <w:snapToGrid w:val="0"/>
        <w:spacing w:before="0" w:beforeAutospacing="0" w:after="0" w:afterAutospacing="0" w:line="580" w:lineRule="exact"/>
        <w:ind w:left="0" w:right="0" w:firstLine="720"/>
        <w:jc w:val="both"/>
        <w:rPr>
          <w:rFonts w:hint="eastAsia" w:ascii="Times New Roman" w:hAnsi="Times New Roman" w:eastAsia="楷体_GB2312" w:cs="楷体_GB2312"/>
          <w:color w:val="auto"/>
          <w:kern w:val="2"/>
          <w:sz w:val="32"/>
          <w:szCs w:val="24"/>
          <w:lang w:val="zh-CN" w:eastAsia="zh-CN" w:bidi="ar"/>
        </w:rPr>
      </w:pPr>
      <w:r>
        <w:rPr>
          <w:rFonts w:hint="eastAsia" w:ascii="Times New Roman" w:hAnsi="Times New Roman" w:eastAsia="楷体_GB2312" w:cs="楷体_GB2312"/>
          <w:color w:val="auto"/>
          <w:kern w:val="2"/>
          <w:sz w:val="32"/>
          <w:szCs w:val="24"/>
          <w:lang w:val="zh-CN" w:eastAsia="zh-CN" w:bidi="ar"/>
        </w:rPr>
        <w:t>资金使用</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80" w:lineRule="exact"/>
        <w:ind w:left="0" w:leftChars="0" w:right="0" w:rightChars="0" w:firstLine="640" w:firstLineChars="200"/>
        <w:jc w:val="both"/>
        <w:textAlignment w:val="auto"/>
        <w:rPr>
          <w:rFonts w:ascii="Times New Roman" w:hAnsi="Times New Roman" w:eastAsia="仿宋_GB2312" w:cs="Times New Roman"/>
          <w:color w:val="auto"/>
          <w:sz w:val="32"/>
          <w:lang w:val="zh-CN" w:eastAsia="zh-CN"/>
        </w:rPr>
      </w:pPr>
      <w:r>
        <w:rPr>
          <w:rFonts w:hint="eastAsia" w:cs="仿宋_GB2312"/>
          <w:color w:val="auto"/>
          <w:kern w:val="2"/>
          <w:sz w:val="32"/>
          <w:szCs w:val="24"/>
          <w:lang w:val="zh-CN" w:eastAsia="zh-CN" w:bidi="ar"/>
        </w:rPr>
        <w:t>该项目资金截至</w:t>
      </w:r>
      <w:r>
        <w:rPr>
          <w:rFonts w:hint="eastAsia" w:cs="仿宋_GB2312"/>
          <w:color w:val="auto"/>
          <w:kern w:val="2"/>
          <w:sz w:val="32"/>
          <w:szCs w:val="24"/>
          <w:lang w:val="en-US" w:eastAsia="zh-CN" w:bidi="ar"/>
        </w:rPr>
        <w:t>2022年年底实际支出30万元，预算执行率100%。</w:t>
      </w:r>
      <w:r>
        <w:rPr>
          <w:rFonts w:hint="eastAsia" w:ascii="Times New Roman" w:hAnsi="Times New Roman" w:eastAsia="仿宋_GB2312" w:cs="仿宋_GB2312"/>
          <w:color w:val="auto"/>
          <w:kern w:val="2"/>
          <w:sz w:val="32"/>
          <w:szCs w:val="24"/>
          <w:lang w:val="zh-CN" w:eastAsia="zh-CN" w:bidi="ar"/>
        </w:rPr>
        <w:t>截</w:t>
      </w:r>
      <w:r>
        <w:rPr>
          <w:rFonts w:hint="eastAsia" w:cs="仿宋_GB2312"/>
          <w:color w:val="auto"/>
          <w:kern w:val="2"/>
          <w:sz w:val="32"/>
          <w:szCs w:val="24"/>
          <w:lang w:val="zh-CN" w:eastAsia="zh-CN" w:bidi="ar"/>
        </w:rPr>
        <w:t>至</w:t>
      </w:r>
      <w:r>
        <w:rPr>
          <w:rFonts w:hint="eastAsia" w:cs="仿宋_GB2312"/>
          <w:color w:val="auto"/>
          <w:kern w:val="2"/>
          <w:sz w:val="32"/>
          <w:szCs w:val="24"/>
          <w:lang w:val="en-US" w:eastAsia="zh-CN" w:bidi="ar"/>
        </w:rPr>
        <w:t>2023年9月20日，</w:t>
      </w:r>
      <w:r>
        <w:rPr>
          <w:rFonts w:hint="eastAsia" w:cs="仿宋_GB2312"/>
          <w:color w:val="auto"/>
          <w:kern w:val="2"/>
          <w:sz w:val="32"/>
          <w:szCs w:val="24"/>
          <w:lang w:val="zh-CN" w:eastAsia="zh-CN" w:bidi="ar"/>
        </w:rPr>
        <w:t>实际支付资金</w:t>
      </w:r>
      <w:r>
        <w:rPr>
          <w:rFonts w:hint="eastAsia" w:cs="仿宋_GB2312"/>
          <w:color w:val="auto"/>
          <w:kern w:val="2"/>
          <w:sz w:val="32"/>
          <w:szCs w:val="24"/>
          <w:lang w:val="en-US" w:eastAsia="zh-CN" w:bidi="ar"/>
        </w:rPr>
        <w:t>104.115万元，总支付率68%，与合同约定支付进度一致。资金支付均从一体化平台支出，合规合法，与预算相符</w:t>
      </w:r>
      <w:r>
        <w:rPr>
          <w:rFonts w:hint="eastAsia" w:ascii="Times New Roman" w:hAnsi="Times New Roman" w:eastAsia="仿宋_GB2312" w:cs="仿宋_GB2312"/>
          <w:color w:val="auto"/>
          <w:kern w:val="2"/>
          <w:sz w:val="32"/>
          <w:szCs w:val="24"/>
          <w:lang w:val="zh-CN" w:eastAsia="zh-CN" w:bidi="ar"/>
        </w:rPr>
        <w:t>。</w:t>
      </w:r>
    </w:p>
    <w:p>
      <w:pPr>
        <w:keepNext w:val="0"/>
        <w:keepLines w:val="0"/>
        <w:widowControl w:val="0"/>
        <w:numPr>
          <w:ilvl w:val="0"/>
          <w:numId w:val="0"/>
        </w:numPr>
        <w:suppressLineNumbers w:val="0"/>
        <w:adjustRightInd w:val="0"/>
        <w:snapToGrid w:val="0"/>
        <w:spacing w:before="0" w:beforeAutospacing="0" w:after="0" w:afterAutospacing="0" w:line="580" w:lineRule="exact"/>
        <w:ind w:left="720" w:leftChars="0" w:right="0" w:rightChars="0"/>
        <w:jc w:val="both"/>
        <w:rPr>
          <w:rFonts w:hint="eastAsia" w:ascii="Times New Roman" w:hAnsi="Times New Roman" w:eastAsia="楷体_GB2312" w:cs="楷体_GB2312"/>
          <w:b w:val="0"/>
          <w:bCs/>
          <w:kern w:val="2"/>
          <w:sz w:val="32"/>
          <w:szCs w:val="24"/>
          <w:lang w:val="zh-CN" w:eastAsia="zh-CN" w:bidi="ar"/>
        </w:rPr>
      </w:pPr>
      <w:r>
        <w:rPr>
          <w:rFonts w:hint="eastAsia" w:ascii="Times New Roman" w:hAnsi="Times New Roman" w:eastAsia="楷体_GB2312" w:cs="楷体_GB2312"/>
          <w:b w:val="0"/>
          <w:bCs/>
          <w:kern w:val="2"/>
          <w:sz w:val="32"/>
          <w:szCs w:val="24"/>
          <w:lang w:val="zh-CN" w:eastAsia="zh-CN" w:bidi="ar"/>
        </w:rPr>
        <w:t>（二）项目财务管理情况</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Times New Roman" w:hAnsi="Times New Roman" w:eastAsia="仿宋_GB2312" w:cs="仿宋_GB2312"/>
          <w:color w:val="auto"/>
          <w:kern w:val="2"/>
          <w:sz w:val="32"/>
          <w:szCs w:val="24"/>
          <w:lang w:val="zh-CN" w:eastAsia="zh-CN" w:bidi="ar"/>
        </w:rPr>
      </w:pPr>
      <w:r>
        <w:rPr>
          <w:rFonts w:hint="eastAsia" w:ascii="Times New Roman" w:hAnsi="Times New Roman" w:eastAsia="仿宋_GB2312" w:cs="仿宋_GB2312"/>
          <w:color w:val="auto"/>
          <w:kern w:val="2"/>
          <w:sz w:val="32"/>
          <w:szCs w:val="24"/>
          <w:lang w:val="zh-CN" w:eastAsia="zh-CN" w:bidi="ar"/>
        </w:rPr>
        <w:t>该项目严格按照财务管理支付及内控管理要求，</w:t>
      </w:r>
      <w:r>
        <w:rPr>
          <w:rFonts w:hint="eastAsia" w:cs="仿宋_GB2312"/>
          <w:color w:val="auto"/>
          <w:kern w:val="2"/>
          <w:sz w:val="32"/>
          <w:szCs w:val="24"/>
          <w:lang w:val="zh-CN" w:eastAsia="zh-CN" w:bidi="ar"/>
        </w:rPr>
        <w:t>在票据合同齐全的条件下，</w:t>
      </w:r>
      <w:r>
        <w:rPr>
          <w:rFonts w:hint="eastAsia" w:ascii="Times New Roman" w:hAnsi="Times New Roman" w:eastAsia="仿宋_GB2312" w:cs="仿宋_GB2312"/>
          <w:color w:val="auto"/>
          <w:kern w:val="2"/>
          <w:sz w:val="32"/>
          <w:szCs w:val="24"/>
          <w:lang w:val="zh-CN" w:eastAsia="zh-CN" w:bidi="ar"/>
        </w:rPr>
        <w:t>资金支出经财务</w:t>
      </w:r>
      <w:r>
        <w:rPr>
          <w:rFonts w:hint="eastAsia" w:cs="仿宋_GB2312"/>
          <w:color w:val="auto"/>
          <w:kern w:val="2"/>
          <w:sz w:val="32"/>
          <w:szCs w:val="24"/>
          <w:lang w:val="zh-CN" w:eastAsia="zh-CN" w:bidi="ar"/>
        </w:rPr>
        <w:t>部门</w:t>
      </w:r>
      <w:r>
        <w:rPr>
          <w:rFonts w:hint="eastAsia" w:ascii="Times New Roman" w:hAnsi="Times New Roman" w:eastAsia="仿宋_GB2312" w:cs="仿宋_GB2312"/>
          <w:color w:val="auto"/>
          <w:kern w:val="2"/>
          <w:sz w:val="32"/>
          <w:szCs w:val="24"/>
          <w:lang w:val="zh-CN" w:eastAsia="zh-CN" w:bidi="ar"/>
        </w:rPr>
        <w:t>和分管领导审核确认后按</w:t>
      </w:r>
      <w:r>
        <w:rPr>
          <w:rFonts w:hint="eastAsia" w:cs="仿宋_GB2312"/>
          <w:color w:val="auto"/>
          <w:kern w:val="2"/>
          <w:sz w:val="32"/>
          <w:szCs w:val="24"/>
          <w:lang w:val="zh-CN" w:eastAsia="zh-CN" w:bidi="ar"/>
        </w:rPr>
        <w:t>约定</w:t>
      </w:r>
      <w:r>
        <w:rPr>
          <w:rFonts w:hint="eastAsia" w:ascii="Times New Roman" w:hAnsi="Times New Roman" w:eastAsia="仿宋_GB2312" w:cs="仿宋_GB2312"/>
          <w:color w:val="auto"/>
          <w:kern w:val="2"/>
          <w:sz w:val="32"/>
          <w:szCs w:val="24"/>
          <w:lang w:val="zh-CN" w:eastAsia="zh-CN" w:bidi="ar"/>
        </w:rPr>
        <w:t>付款，并及时</w:t>
      </w:r>
      <w:r>
        <w:rPr>
          <w:rFonts w:hint="eastAsia" w:cs="仿宋_GB2312"/>
          <w:color w:val="auto"/>
          <w:kern w:val="2"/>
          <w:sz w:val="32"/>
          <w:szCs w:val="24"/>
          <w:lang w:val="zh-CN" w:eastAsia="zh-CN" w:bidi="ar"/>
        </w:rPr>
        <w:t>入账</w:t>
      </w:r>
      <w:r>
        <w:rPr>
          <w:rFonts w:hint="eastAsia" w:ascii="Times New Roman" w:hAnsi="Times New Roman" w:eastAsia="仿宋_GB2312" w:cs="仿宋_GB2312"/>
          <w:color w:val="auto"/>
          <w:kern w:val="2"/>
          <w:sz w:val="32"/>
          <w:szCs w:val="24"/>
          <w:lang w:val="zh-CN" w:eastAsia="zh-CN" w:bidi="ar"/>
        </w:rPr>
        <w:t>。</w:t>
      </w:r>
    </w:p>
    <w:p>
      <w:pPr>
        <w:keepNext w:val="0"/>
        <w:keepLines w:val="0"/>
        <w:widowControl w:val="0"/>
        <w:numPr>
          <w:ilvl w:val="0"/>
          <w:numId w:val="0"/>
        </w:numPr>
        <w:suppressLineNumbers w:val="0"/>
        <w:adjustRightInd w:val="0"/>
        <w:snapToGrid w:val="0"/>
        <w:spacing w:before="0" w:beforeAutospacing="0" w:after="0" w:afterAutospacing="0" w:line="580" w:lineRule="exact"/>
        <w:ind w:left="720" w:leftChars="0" w:right="0" w:rightChars="0"/>
        <w:jc w:val="both"/>
        <w:rPr>
          <w:rFonts w:hint="eastAsia" w:ascii="Times New Roman" w:hAnsi="Times New Roman" w:eastAsia="楷体_GB2312" w:cs="楷体_GB2312"/>
          <w:b w:val="0"/>
          <w:bCs/>
          <w:kern w:val="2"/>
          <w:sz w:val="32"/>
          <w:szCs w:val="24"/>
          <w:lang w:val="zh-CN" w:eastAsia="zh-CN" w:bidi="ar"/>
        </w:rPr>
      </w:pPr>
      <w:r>
        <w:rPr>
          <w:rFonts w:hint="eastAsia" w:ascii="Times New Roman" w:hAnsi="Times New Roman" w:eastAsia="楷体_GB2312" w:cs="楷体_GB2312"/>
          <w:b w:val="0"/>
          <w:bCs/>
          <w:kern w:val="2"/>
          <w:sz w:val="32"/>
          <w:szCs w:val="24"/>
          <w:lang w:val="zh-CN" w:eastAsia="zh-CN" w:bidi="ar"/>
        </w:rPr>
        <w:t>（三）项目组织实施情况</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ascii="Times New Roman" w:hAnsi="Times New Roman" w:eastAsia="仿宋_GB2312" w:cs="Times New Roman"/>
          <w:sz w:val="32"/>
          <w:lang w:val="zh-CN" w:eastAsia="zh-CN"/>
        </w:rPr>
      </w:pPr>
      <w:r>
        <w:rPr>
          <w:rFonts w:hint="eastAsia" w:cs="仿宋_GB2312"/>
          <w:kern w:val="2"/>
          <w:sz w:val="32"/>
          <w:szCs w:val="24"/>
          <w:lang w:val="zh-CN" w:eastAsia="zh-CN" w:bidi="ar"/>
        </w:rPr>
        <w:t>该</w:t>
      </w:r>
      <w:r>
        <w:rPr>
          <w:rFonts w:hint="eastAsia" w:ascii="Times New Roman" w:hAnsi="Times New Roman" w:eastAsia="仿宋_GB2312" w:cs="仿宋_GB2312"/>
          <w:kern w:val="2"/>
          <w:sz w:val="32"/>
          <w:szCs w:val="24"/>
          <w:lang w:val="zh-CN" w:eastAsia="zh-CN" w:bidi="ar"/>
        </w:rPr>
        <w:t>项目组织</w:t>
      </w:r>
      <w:r>
        <w:rPr>
          <w:rFonts w:hint="eastAsia" w:cs="仿宋_GB2312"/>
          <w:kern w:val="2"/>
          <w:sz w:val="32"/>
          <w:szCs w:val="24"/>
          <w:lang w:val="zh-CN" w:eastAsia="zh-CN" w:bidi="ar"/>
        </w:rPr>
        <w:t>实施严格按照三重一大决策制度和政府采购管理规定，经本院党组会研究后，报请沿滩区政府、区委审议同意，并确定资金来源后，按照自贡市政府采购中心要求，进行采购。</w:t>
      </w:r>
      <w:r>
        <w:rPr>
          <w:rFonts w:hint="eastAsia" w:ascii="仿宋_GB2312" w:hAnsi="仿宋_GB2312" w:eastAsia="仿宋_GB2312" w:cs="仿宋_GB2312"/>
          <w:sz w:val="32"/>
          <w:szCs w:val="32"/>
          <w:lang w:val="en-US" w:eastAsia="zh-CN"/>
        </w:rPr>
        <w:t>成立</w:t>
      </w:r>
      <w:r>
        <w:rPr>
          <w:rFonts w:hint="eastAsia" w:eastAsia="仿宋_GB2312"/>
          <w:sz w:val="32"/>
          <w:szCs w:val="32"/>
          <w:lang w:eastAsia="zh-CN"/>
        </w:rPr>
        <w:t>办案用房和专业技术用房</w:t>
      </w:r>
      <w:r>
        <w:rPr>
          <w:rFonts w:hint="eastAsia" w:eastAsia="仿宋_GB2312"/>
          <w:sz w:val="32"/>
          <w:szCs w:val="32"/>
        </w:rPr>
        <w:t>信息化建设项目</w:t>
      </w:r>
      <w:r>
        <w:rPr>
          <w:rFonts w:hint="eastAsia" w:eastAsia="仿宋_GB2312"/>
          <w:sz w:val="32"/>
          <w:szCs w:val="32"/>
          <w:lang w:eastAsia="zh-CN"/>
        </w:rPr>
        <w:t>领导小组</w:t>
      </w:r>
      <w:r>
        <w:rPr>
          <w:rFonts w:hint="eastAsia"/>
          <w:sz w:val="32"/>
          <w:szCs w:val="32"/>
          <w:lang w:eastAsia="zh-CN"/>
        </w:rPr>
        <w:t>，由检察长任组长，其他班</w:t>
      </w:r>
      <w:r>
        <w:rPr>
          <w:rFonts w:hint="eastAsia"/>
          <w:sz w:val="32"/>
          <w:szCs w:val="32"/>
          <w:lang w:val="en-US" w:eastAsia="zh-CN"/>
        </w:rPr>
        <w:t>子</w:t>
      </w:r>
      <w:r>
        <w:rPr>
          <w:rFonts w:hint="eastAsia"/>
          <w:sz w:val="32"/>
          <w:szCs w:val="32"/>
          <w:lang w:eastAsia="zh-CN"/>
        </w:rPr>
        <w:t>成员任副组长，各部门负责人任成员，下设小组办公室和</w:t>
      </w:r>
      <w:r>
        <w:rPr>
          <w:rFonts w:hint="eastAsia" w:eastAsia="仿宋_GB2312"/>
          <w:sz w:val="32"/>
          <w:szCs w:val="32"/>
          <w:lang w:val="en-US" w:eastAsia="zh-CN"/>
        </w:rPr>
        <w:t>督查组</w:t>
      </w:r>
      <w:r>
        <w:rPr>
          <w:rFonts w:hint="eastAsia"/>
          <w:sz w:val="32"/>
          <w:szCs w:val="32"/>
          <w:lang w:val="en-US" w:eastAsia="zh-CN"/>
        </w:rPr>
        <w:t>，明确领导小组、小组办公室、督查组职能职责，</w:t>
      </w:r>
      <w:r>
        <w:rPr>
          <w:rFonts w:hint="eastAsia" w:cs="仿宋_GB2312"/>
          <w:kern w:val="2"/>
          <w:sz w:val="32"/>
          <w:szCs w:val="24"/>
          <w:lang w:val="zh-CN" w:eastAsia="zh-CN" w:bidi="ar"/>
        </w:rPr>
        <w:t>项目建设过程中，安排技术人员全程跟进，确保项目正常有序开展。</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ascii="Times New Roman" w:hAnsi="Times New Roman" w:eastAsia="仿宋_GB2312" w:cs="Times New Roman"/>
          <w:sz w:val="32"/>
          <w:lang w:val="zh-CN" w:eastAsia="zh-CN"/>
        </w:rPr>
      </w:pPr>
      <w:r>
        <w:rPr>
          <w:rFonts w:hint="eastAsia" w:ascii="Times New Roman" w:hAnsi="Times New Roman" w:eastAsia="黑体" w:cs="黑体"/>
          <w:kern w:val="2"/>
          <w:sz w:val="32"/>
          <w:szCs w:val="24"/>
          <w:lang w:val="en-US" w:eastAsia="zh-CN" w:bidi="ar"/>
        </w:rPr>
        <w:t>三、项目绩效情况</w:t>
      </w:r>
      <w:r>
        <w:rPr>
          <w:rFonts w:hint="default" w:ascii="Times New Roman" w:hAnsi="Times New Roman" w:eastAsia="仿宋_GB2312" w:cs="Times New Roman"/>
          <w:kern w:val="2"/>
          <w:sz w:val="32"/>
          <w:szCs w:val="24"/>
          <w:lang w:val="zh-CN" w:eastAsia="zh-CN" w:bidi="ar"/>
        </w:rPr>
        <w:tab/>
      </w:r>
    </w:p>
    <w:p>
      <w:pPr>
        <w:keepNext w:val="0"/>
        <w:keepLines w:val="0"/>
        <w:widowControl w:val="0"/>
        <w:numPr>
          <w:ilvl w:val="0"/>
          <w:numId w:val="0"/>
        </w:numPr>
        <w:suppressLineNumbers w:val="0"/>
        <w:adjustRightInd w:val="0"/>
        <w:snapToGrid w:val="0"/>
        <w:spacing w:before="0" w:beforeAutospacing="0" w:after="0" w:afterAutospacing="0" w:line="580" w:lineRule="exact"/>
        <w:ind w:left="720" w:leftChars="0" w:right="0" w:rightChars="0"/>
        <w:jc w:val="both"/>
        <w:rPr>
          <w:rFonts w:hint="eastAsia" w:ascii="Times New Roman" w:hAnsi="Times New Roman" w:eastAsia="楷体_GB2312" w:cs="楷体_GB2312"/>
          <w:b w:val="0"/>
          <w:bCs/>
          <w:kern w:val="2"/>
          <w:sz w:val="32"/>
          <w:szCs w:val="24"/>
          <w:lang w:val="zh-CN" w:eastAsia="zh-CN" w:bidi="ar"/>
        </w:rPr>
      </w:pPr>
      <w:r>
        <w:rPr>
          <w:rFonts w:hint="eastAsia" w:ascii="Times New Roman" w:hAnsi="Times New Roman" w:eastAsia="楷体_GB2312" w:cs="楷体_GB2312"/>
          <w:b w:val="0"/>
          <w:bCs/>
          <w:kern w:val="2"/>
          <w:sz w:val="32"/>
          <w:szCs w:val="24"/>
          <w:lang w:val="zh-CN" w:eastAsia="zh-CN" w:bidi="ar"/>
        </w:rPr>
        <w:t>（一）项目完成情况</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cs="仿宋_GB2312"/>
          <w:kern w:val="2"/>
          <w:sz w:val="32"/>
          <w:szCs w:val="24"/>
          <w:lang w:val="zh-CN" w:eastAsia="zh-CN" w:bidi="ar"/>
        </w:rPr>
      </w:pPr>
      <w:r>
        <w:rPr>
          <w:rFonts w:hint="eastAsia" w:cs="仿宋_GB2312"/>
          <w:kern w:val="2"/>
          <w:sz w:val="32"/>
          <w:szCs w:val="24"/>
          <w:lang w:val="zh-CN" w:eastAsia="zh-CN" w:bidi="ar"/>
        </w:rPr>
        <w:t>已完成建设办案工作区同步录音录像系统5套、办案办公区域安全管理系统2套，升级改造远程提讯系统1套、检委会显示分析系统1套、检察信息化综合集成系统1套，检察信息化水平和办案效率得到有效提高。</w:t>
      </w:r>
    </w:p>
    <w:p>
      <w:pPr>
        <w:keepNext w:val="0"/>
        <w:keepLines w:val="0"/>
        <w:widowControl w:val="0"/>
        <w:numPr>
          <w:ilvl w:val="0"/>
          <w:numId w:val="0"/>
        </w:numPr>
        <w:suppressLineNumbers w:val="0"/>
        <w:adjustRightInd w:val="0"/>
        <w:snapToGrid w:val="0"/>
        <w:spacing w:before="0" w:beforeAutospacing="0" w:after="0" w:afterAutospacing="0" w:line="580" w:lineRule="exact"/>
        <w:ind w:left="720" w:leftChars="0" w:right="0" w:rightChars="0"/>
        <w:jc w:val="both"/>
        <w:rPr>
          <w:rFonts w:hint="eastAsia" w:ascii="Times New Roman" w:hAnsi="Times New Roman" w:eastAsia="楷体_GB2312" w:cs="楷体_GB2312"/>
          <w:b w:val="0"/>
          <w:bCs/>
          <w:kern w:val="2"/>
          <w:sz w:val="32"/>
          <w:szCs w:val="24"/>
          <w:lang w:val="zh-CN" w:eastAsia="zh-CN" w:bidi="ar"/>
        </w:rPr>
      </w:pPr>
      <w:r>
        <w:rPr>
          <w:rFonts w:hint="eastAsia" w:eastAsia="楷体_GB2312" w:cs="楷体_GB2312"/>
          <w:b w:val="0"/>
          <w:bCs/>
          <w:kern w:val="2"/>
          <w:sz w:val="32"/>
          <w:szCs w:val="24"/>
          <w:lang w:val="zh-CN" w:eastAsia="zh-CN" w:bidi="ar"/>
        </w:rPr>
        <w:t>（二）</w:t>
      </w:r>
      <w:r>
        <w:rPr>
          <w:rFonts w:hint="eastAsia" w:ascii="Times New Roman" w:hAnsi="Times New Roman" w:eastAsia="楷体_GB2312" w:cs="楷体_GB2312"/>
          <w:b w:val="0"/>
          <w:bCs/>
          <w:kern w:val="2"/>
          <w:sz w:val="32"/>
          <w:szCs w:val="24"/>
          <w:lang w:val="zh-CN" w:eastAsia="zh-CN" w:bidi="ar"/>
        </w:rPr>
        <w:t>项目效益情况</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80" w:lineRule="exact"/>
        <w:ind w:left="0" w:leftChars="0" w:right="0" w:rightChars="0" w:firstLine="640" w:firstLineChars="200"/>
        <w:jc w:val="both"/>
        <w:textAlignment w:val="auto"/>
        <w:rPr>
          <w:rFonts w:ascii="Times New Roman" w:hAnsi="Times New Roman" w:eastAsia="楷体_GB2312" w:cs="Times New Roman"/>
          <w:b/>
          <w:bCs w:val="0"/>
          <w:sz w:val="32"/>
          <w:lang w:val="zh-CN" w:eastAsia="zh-CN"/>
        </w:rPr>
      </w:pPr>
      <w:r>
        <w:rPr>
          <w:rFonts w:hint="eastAsia" w:ascii="Times New Roman" w:hAnsi="Times New Roman" w:eastAsia="仿宋_GB2312" w:cs="仿宋_GB2312"/>
          <w:kern w:val="2"/>
          <w:sz w:val="32"/>
          <w:szCs w:val="24"/>
          <w:lang w:val="zh-CN" w:eastAsia="zh-CN" w:bidi="ar"/>
        </w:rPr>
        <w:t>该项目</w:t>
      </w:r>
      <w:r>
        <w:rPr>
          <w:rFonts w:hint="eastAsia" w:cs="仿宋_GB2312"/>
          <w:kern w:val="2"/>
          <w:sz w:val="32"/>
          <w:szCs w:val="24"/>
          <w:lang w:val="zh-CN" w:eastAsia="zh-CN" w:bidi="ar"/>
        </w:rPr>
        <w:t>的建成，进一步提升了检察机关信息化水平和执法司法规范性。一是满足人员管控要求，对进出人员赋权限管理，消除办公办案区不安全因素。二是扩展办案功能房间，对办案区实现流程化、自动化、规范化管理。三是统一业务系统管控，对询问、听证、出庭等实现统一集成，避免出现多系统多平台情况。四是实现远程提讯需求。通过互联网提讯、远程听证等，提升办案效率。五是实现同步录音录像。确保案件证据和资料的高度安全性。六是提升综合安防水平。对公共办公区域和办案区进行数字化、全高清、全覆盖视频监控，支持紧急报警信号部署接入，联动视频图像和门禁管理，确保办公办案安全。</w:t>
      </w:r>
    </w:p>
    <w:p>
      <w:pPr>
        <w:keepNext w:val="0"/>
        <w:keepLines w:val="0"/>
        <w:widowControl w:val="0"/>
        <w:numPr>
          <w:ilvl w:val="0"/>
          <w:numId w:val="9"/>
        </w:numPr>
        <w:suppressLineNumbers w:val="0"/>
        <w:adjustRightInd w:val="0"/>
        <w:snapToGrid w:val="0"/>
        <w:spacing w:before="0" w:beforeAutospacing="0" w:after="0" w:afterAutospacing="0" w:line="580" w:lineRule="exact"/>
        <w:ind w:left="0" w:right="0" w:firstLine="720"/>
        <w:jc w:val="both"/>
        <w:rPr>
          <w:rFonts w:hint="eastAsia" w:eastAsia="黑体" w:cs="黑体"/>
          <w:kern w:val="2"/>
          <w:sz w:val="32"/>
          <w:szCs w:val="24"/>
          <w:lang w:val="en-US" w:eastAsia="zh-CN" w:bidi="ar"/>
        </w:rPr>
      </w:pPr>
      <w:r>
        <w:rPr>
          <w:rFonts w:hint="eastAsia" w:eastAsia="黑体" w:cs="黑体"/>
          <w:kern w:val="2"/>
          <w:sz w:val="32"/>
          <w:szCs w:val="24"/>
          <w:lang w:val="en-US" w:eastAsia="zh-CN" w:bidi="ar"/>
        </w:rPr>
        <w:t>问题及建议</w:t>
      </w:r>
    </w:p>
    <w:p>
      <w:pPr>
        <w:keepNext w:val="0"/>
        <w:keepLines w:val="0"/>
        <w:widowControl w:val="0"/>
        <w:numPr>
          <w:ilvl w:val="0"/>
          <w:numId w:val="10"/>
        </w:numPr>
        <w:suppressLineNumbers w:val="0"/>
        <w:adjustRightInd w:val="0"/>
        <w:snapToGrid w:val="0"/>
        <w:spacing w:before="0" w:beforeAutospacing="0" w:after="0" w:afterAutospacing="0" w:line="580" w:lineRule="exact"/>
        <w:ind w:left="640" w:leftChars="0" w:right="0" w:rightChars="0" w:firstLineChars="0"/>
        <w:jc w:val="both"/>
        <w:rPr>
          <w:rFonts w:hint="eastAsia" w:ascii="Times New Roman" w:hAnsi="Times New Roman" w:eastAsia="楷体_GB2312" w:cs="楷体_GB2312"/>
          <w:b w:val="0"/>
          <w:bCs/>
          <w:kern w:val="2"/>
          <w:sz w:val="32"/>
          <w:szCs w:val="24"/>
          <w:lang w:val="zh-CN" w:eastAsia="zh-CN" w:bidi="ar"/>
        </w:rPr>
      </w:pPr>
      <w:r>
        <w:rPr>
          <w:rFonts w:hint="eastAsia" w:ascii="Times New Roman" w:hAnsi="Times New Roman" w:eastAsia="楷体_GB2312" w:cs="楷体_GB2312"/>
          <w:b w:val="0"/>
          <w:bCs/>
          <w:kern w:val="2"/>
          <w:sz w:val="32"/>
          <w:szCs w:val="24"/>
          <w:lang w:val="zh-CN" w:eastAsia="zh-CN" w:bidi="ar"/>
        </w:rPr>
        <w:t>存在的问题</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80" w:lineRule="exact"/>
        <w:ind w:left="0" w:leftChars="0" w:right="0" w:rightChars="0" w:firstLine="640" w:firstLineChars="200"/>
        <w:jc w:val="both"/>
        <w:textAlignment w:val="auto"/>
        <w:rPr>
          <w:rFonts w:hint="default" w:cs="仿宋_GB2312"/>
          <w:kern w:val="2"/>
          <w:sz w:val="32"/>
          <w:szCs w:val="24"/>
          <w:lang w:val="en-US" w:eastAsia="zh-CN" w:bidi="ar"/>
        </w:rPr>
      </w:pPr>
      <w:r>
        <w:rPr>
          <w:rFonts w:hint="eastAsia" w:cs="仿宋_GB2312"/>
          <w:kern w:val="2"/>
          <w:sz w:val="32"/>
          <w:szCs w:val="24"/>
          <w:lang w:val="zh-CN" w:eastAsia="zh-CN" w:bidi="ar"/>
        </w:rPr>
        <w:t>预算编制的准确性和合理性有待进一步提高。该项目为跨年项目，项目资金也是分阶段保障，在制定年度绩效指标时，指标针对的是整体效果，不利于阶段性评价项目质量。</w:t>
      </w:r>
    </w:p>
    <w:p>
      <w:pPr>
        <w:keepNext w:val="0"/>
        <w:keepLines w:val="0"/>
        <w:widowControl w:val="0"/>
        <w:numPr>
          <w:ilvl w:val="0"/>
          <w:numId w:val="10"/>
        </w:numPr>
        <w:suppressLineNumbers w:val="0"/>
        <w:adjustRightInd w:val="0"/>
        <w:snapToGrid w:val="0"/>
        <w:spacing w:before="0" w:beforeAutospacing="0" w:after="0" w:afterAutospacing="0" w:line="580" w:lineRule="exact"/>
        <w:ind w:left="640" w:leftChars="0" w:right="0" w:rightChars="0" w:firstLineChars="0"/>
        <w:jc w:val="both"/>
        <w:rPr>
          <w:rFonts w:hint="eastAsia" w:ascii="Times New Roman" w:hAnsi="Times New Roman" w:eastAsia="楷体_GB2312" w:cs="楷体_GB2312"/>
          <w:b w:val="0"/>
          <w:bCs/>
          <w:kern w:val="2"/>
          <w:sz w:val="32"/>
          <w:szCs w:val="24"/>
          <w:lang w:val="zh-CN" w:eastAsia="zh-CN" w:bidi="ar"/>
        </w:rPr>
      </w:pPr>
      <w:r>
        <w:rPr>
          <w:rFonts w:hint="eastAsia" w:ascii="Times New Roman" w:hAnsi="Times New Roman" w:eastAsia="楷体_GB2312" w:cs="楷体_GB2312"/>
          <w:b w:val="0"/>
          <w:bCs/>
          <w:kern w:val="2"/>
          <w:sz w:val="32"/>
          <w:szCs w:val="24"/>
          <w:lang w:val="zh-CN" w:eastAsia="zh-CN" w:bidi="ar"/>
        </w:rPr>
        <w:t>相关建议</w:t>
      </w:r>
    </w:p>
    <w:p>
      <w:pPr>
        <w:pStyle w:val="11"/>
        <w:keepNext w:val="0"/>
        <w:keepLines w:val="0"/>
        <w:pageBreakBefore w:val="0"/>
        <w:widowControl w:val="0"/>
        <w:kinsoku/>
        <w:wordWrap/>
        <w:overflowPunct/>
        <w:topLinePunct w:val="0"/>
        <w:autoSpaceDE/>
        <w:autoSpaceDN/>
        <w:bidi w:val="0"/>
        <w:adjustRightInd/>
        <w:snapToGrid/>
        <w:ind w:left="0" w:leftChars="0"/>
        <w:textAlignment w:val="auto"/>
        <w:rPr>
          <w:rFonts w:hint="eastAsia"/>
          <w:lang w:val="zh-CN" w:eastAsia="zh-CN"/>
        </w:rPr>
      </w:pPr>
      <w:r>
        <w:rPr>
          <w:rFonts w:hint="eastAsia"/>
          <w:lang w:val="zh-CN" w:eastAsia="zh-CN"/>
        </w:rPr>
        <w:t>加强事前控制，合理计划各阶段投入及成效，并制定阶段性目标和绩效指标，实施过程控制，把握项目进度及效果，确保项目如期推进，保质完成。</w:t>
      </w:r>
    </w:p>
    <w:p>
      <w:pPr>
        <w:pStyle w:val="11"/>
        <w:numPr>
          <w:ilvl w:val="0"/>
          <w:numId w:val="0"/>
        </w:numPr>
        <w:rPr>
          <w:rFonts w:hint="eastAsia"/>
          <w:lang w:val="zh-CN" w:eastAsia="zh-CN"/>
        </w:rPr>
      </w:pPr>
    </w:p>
    <w:p>
      <w:pPr>
        <w:keepNext w:val="0"/>
        <w:keepLines w:val="0"/>
        <w:widowControl w:val="0"/>
        <w:suppressLineNumbers w:val="0"/>
        <w:spacing w:before="0" w:beforeAutospacing="0" w:after="0" w:afterAutospacing="0" w:line="580" w:lineRule="exact"/>
        <w:ind w:left="0" w:right="0"/>
        <w:jc w:val="both"/>
        <w:outlineLvl w:val="9"/>
        <w:rPr>
          <w:rFonts w:hint="eastAsia" w:ascii="Times New Roman" w:hAnsi="Times New Roman" w:eastAsia="黑体" w:cs="黑体"/>
          <w:kern w:val="2"/>
          <w:sz w:val="32"/>
          <w:szCs w:val="24"/>
          <w:lang w:val="en-US" w:eastAsia="zh-CN" w:bidi="ar"/>
        </w:rPr>
      </w:pPr>
    </w:p>
    <w:p>
      <w:pPr>
        <w:keepNext w:val="0"/>
        <w:keepLines w:val="0"/>
        <w:widowControl w:val="0"/>
        <w:suppressLineNumbers w:val="0"/>
        <w:spacing w:before="0" w:beforeAutospacing="0" w:after="0" w:afterAutospacing="0" w:line="580" w:lineRule="exact"/>
        <w:ind w:left="0" w:right="0"/>
        <w:jc w:val="both"/>
        <w:outlineLvl w:val="9"/>
        <w:rPr>
          <w:rFonts w:hint="eastAsia" w:ascii="Times New Roman" w:hAnsi="Times New Roman" w:eastAsia="黑体" w:cs="黑体"/>
          <w:kern w:val="2"/>
          <w:sz w:val="32"/>
          <w:szCs w:val="24"/>
          <w:lang w:val="en-US" w:eastAsia="zh-CN" w:bidi="ar"/>
        </w:rPr>
      </w:pPr>
    </w:p>
    <w:p>
      <w:pPr>
        <w:pStyle w:val="2"/>
        <w:rPr>
          <w:rFonts w:hint="eastAsia" w:ascii="Times New Roman" w:hAnsi="Times New Roman" w:eastAsia="黑体" w:cs="黑体"/>
          <w:kern w:val="2"/>
          <w:sz w:val="32"/>
          <w:szCs w:val="24"/>
          <w:lang w:val="en-US" w:eastAsia="zh-CN" w:bidi="ar"/>
        </w:rPr>
      </w:pPr>
    </w:p>
    <w:p>
      <w:pPr>
        <w:pStyle w:val="2"/>
        <w:rPr>
          <w:rFonts w:hint="eastAsia" w:ascii="Times New Roman" w:hAnsi="Times New Roman" w:eastAsia="黑体" w:cs="黑体"/>
          <w:kern w:val="2"/>
          <w:sz w:val="32"/>
          <w:szCs w:val="24"/>
          <w:lang w:val="en-US" w:eastAsia="zh-CN" w:bidi="ar"/>
        </w:rPr>
      </w:pPr>
    </w:p>
    <w:p>
      <w:pPr>
        <w:keepNext w:val="0"/>
        <w:keepLines w:val="0"/>
        <w:widowControl w:val="0"/>
        <w:suppressLineNumbers w:val="0"/>
        <w:spacing w:before="0" w:beforeAutospacing="0" w:after="0" w:afterAutospacing="0" w:line="580" w:lineRule="exact"/>
        <w:ind w:left="0" w:right="0"/>
        <w:jc w:val="both"/>
        <w:outlineLvl w:val="9"/>
        <w:rPr>
          <w:rFonts w:hint="eastAsia" w:ascii="Times New Roman" w:hAnsi="Times New Roman" w:eastAsia="黑体" w:cs="黑体"/>
          <w:kern w:val="2"/>
          <w:sz w:val="32"/>
          <w:szCs w:val="24"/>
          <w:lang w:val="en-US" w:eastAsia="zh-CN" w:bidi="ar"/>
        </w:rPr>
      </w:pPr>
      <w:r>
        <w:rPr>
          <w:rFonts w:hint="eastAsia" w:ascii="Times New Roman" w:hAnsi="Times New Roman" w:eastAsia="黑体" w:cs="黑体"/>
          <w:kern w:val="2"/>
          <w:sz w:val="32"/>
          <w:szCs w:val="24"/>
          <w:lang w:val="en-US" w:eastAsia="zh-CN" w:bidi="ar"/>
        </w:rPr>
        <w:t>附件3</w:t>
      </w:r>
    </w:p>
    <w:tbl>
      <w:tblPr>
        <w:tblStyle w:val="12"/>
        <w:tblpPr w:leftFromText="180" w:rightFromText="180" w:vertAnchor="text" w:horzAnchor="page" w:tblpX="996" w:tblpY="845"/>
        <w:tblOverlap w:val="never"/>
        <w:tblW w:w="10276" w:type="dxa"/>
        <w:tblInd w:w="0" w:type="dxa"/>
        <w:shd w:val="clear" w:color="auto" w:fill="auto"/>
        <w:tblLayout w:type="fixed"/>
        <w:tblCellMar>
          <w:top w:w="0" w:type="dxa"/>
          <w:left w:w="0" w:type="dxa"/>
          <w:bottom w:w="0" w:type="dxa"/>
          <w:right w:w="0" w:type="dxa"/>
        </w:tblCellMar>
      </w:tblPr>
      <w:tblGrid>
        <w:gridCol w:w="1126"/>
        <w:gridCol w:w="1311"/>
        <w:gridCol w:w="1380"/>
        <w:gridCol w:w="1380"/>
        <w:gridCol w:w="521"/>
        <w:gridCol w:w="1080"/>
        <w:gridCol w:w="521"/>
        <w:gridCol w:w="855"/>
        <w:gridCol w:w="505"/>
        <w:gridCol w:w="456"/>
        <w:gridCol w:w="1141"/>
      </w:tblGrid>
      <w:tr>
        <w:tblPrEx>
          <w:shd w:val="clear" w:color="auto" w:fill="auto"/>
          <w:tblLayout w:type="fixed"/>
          <w:tblCellMar>
            <w:top w:w="0" w:type="dxa"/>
            <w:left w:w="0" w:type="dxa"/>
            <w:bottom w:w="0" w:type="dxa"/>
            <w:right w:w="0" w:type="dxa"/>
          </w:tblCellMar>
        </w:tblPrEx>
        <w:trPr>
          <w:trHeight w:val="904" w:hRule="atLeast"/>
        </w:trPr>
        <w:tc>
          <w:tcPr>
            <w:tcW w:w="10276" w:type="dxa"/>
            <w:gridSpan w:val="11"/>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黑体" w:hAnsi="宋体" w:eastAsia="黑体" w:cs="黑体"/>
                <w:b/>
                <w:i w:val="0"/>
                <w:color w:val="000000"/>
                <w:sz w:val="30"/>
                <w:szCs w:val="30"/>
                <w:u w:val="none"/>
              </w:rPr>
            </w:pPr>
            <w:r>
              <w:rPr>
                <w:rFonts w:hint="eastAsia" w:ascii="黑体" w:hAnsi="宋体" w:eastAsia="黑体" w:cs="黑体"/>
                <w:b/>
                <w:i w:val="0"/>
                <w:color w:val="000000"/>
                <w:kern w:val="0"/>
                <w:sz w:val="30"/>
                <w:szCs w:val="30"/>
                <w:u w:val="none"/>
                <w:lang w:val="en-US" w:eastAsia="zh-CN" w:bidi="ar"/>
              </w:rPr>
              <w:t>部门预算项目支出绩效自评表（2022年度）</w:t>
            </w:r>
          </w:p>
        </w:tc>
      </w:tr>
      <w:tr>
        <w:tblPrEx>
          <w:tblLayout w:type="fixed"/>
          <w:tblCellMar>
            <w:top w:w="0" w:type="dxa"/>
            <w:left w:w="0" w:type="dxa"/>
            <w:bottom w:w="0" w:type="dxa"/>
            <w:right w:w="0" w:type="dxa"/>
          </w:tblCellMar>
        </w:tblPrEx>
        <w:trPr>
          <w:trHeight w:val="286" w:hRule="atLeast"/>
        </w:trPr>
        <w:tc>
          <w:tcPr>
            <w:tcW w:w="243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项目名称</w:t>
            </w:r>
          </w:p>
        </w:tc>
        <w:tc>
          <w:tcPr>
            <w:tcW w:w="7839"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51030022T000005890620-沿滩检察院办案用房和专业技术用房信息化建设项目</w:t>
            </w:r>
          </w:p>
        </w:tc>
      </w:tr>
      <w:tr>
        <w:tblPrEx>
          <w:tblLayout w:type="fixed"/>
          <w:tblCellMar>
            <w:top w:w="0" w:type="dxa"/>
            <w:left w:w="0" w:type="dxa"/>
            <w:bottom w:w="0" w:type="dxa"/>
            <w:right w:w="0" w:type="dxa"/>
          </w:tblCellMar>
        </w:tblPrEx>
        <w:trPr>
          <w:trHeight w:val="442" w:hRule="atLeast"/>
        </w:trPr>
        <w:tc>
          <w:tcPr>
            <w:tcW w:w="243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主管部门</w:t>
            </w:r>
          </w:p>
        </w:tc>
        <w:tc>
          <w:tcPr>
            <w:tcW w:w="488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自贡市沿滩区人民检察院部门</w:t>
            </w:r>
          </w:p>
        </w:tc>
        <w:tc>
          <w:tcPr>
            <w:tcW w:w="855" w:type="dxa"/>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实施单位 （盖章）</w:t>
            </w:r>
          </w:p>
        </w:tc>
        <w:tc>
          <w:tcPr>
            <w:tcW w:w="210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自贡市沿滩区人民检察院</w:t>
            </w:r>
          </w:p>
        </w:tc>
      </w:tr>
      <w:tr>
        <w:tblPrEx>
          <w:tblLayout w:type="fixed"/>
          <w:tblCellMar>
            <w:top w:w="0" w:type="dxa"/>
            <w:left w:w="0" w:type="dxa"/>
            <w:bottom w:w="0" w:type="dxa"/>
            <w:right w:w="0" w:type="dxa"/>
          </w:tblCellMar>
        </w:tblPrEx>
        <w:trPr>
          <w:trHeight w:val="286" w:hRule="atLeast"/>
        </w:trPr>
        <w:tc>
          <w:tcPr>
            <w:tcW w:w="112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项目基本情况</w:t>
            </w:r>
          </w:p>
        </w:tc>
        <w:tc>
          <w:tcPr>
            <w:tcW w:w="131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1.项目年度目标完成情况</w:t>
            </w:r>
          </w:p>
        </w:tc>
        <w:tc>
          <w:tcPr>
            <w:tcW w:w="488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项目年度目标</w:t>
            </w:r>
          </w:p>
        </w:tc>
        <w:tc>
          <w:tcPr>
            <w:tcW w:w="295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年度目标完成情况</w:t>
            </w:r>
          </w:p>
        </w:tc>
      </w:tr>
      <w:tr>
        <w:tblPrEx>
          <w:tblLayout w:type="fixed"/>
          <w:tblCellMar>
            <w:top w:w="0" w:type="dxa"/>
            <w:left w:w="0" w:type="dxa"/>
            <w:bottom w:w="0" w:type="dxa"/>
            <w:right w:w="0" w:type="dxa"/>
          </w:tblCellMar>
        </w:tblPrEx>
        <w:trPr>
          <w:trHeight w:val="422"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31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488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沿滩区人民检察院信息化建设升级改造</w:t>
            </w:r>
          </w:p>
        </w:tc>
        <w:tc>
          <w:tcPr>
            <w:tcW w:w="295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22年支付项目预付款30万，项目正常推进中</w:t>
            </w:r>
          </w:p>
        </w:tc>
      </w:tr>
      <w:tr>
        <w:tblPrEx>
          <w:tblLayout w:type="fixed"/>
          <w:tblCellMar>
            <w:top w:w="0" w:type="dxa"/>
            <w:left w:w="0" w:type="dxa"/>
            <w:bottom w:w="0" w:type="dxa"/>
            <w:right w:w="0" w:type="dxa"/>
          </w:tblCellMar>
        </w:tblPrEx>
        <w:trPr>
          <w:trHeight w:val="375"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2.项目实施内容及过程概述</w:t>
            </w:r>
          </w:p>
        </w:tc>
        <w:tc>
          <w:tcPr>
            <w:tcW w:w="7839"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r>
              <w:rPr>
                <w:rFonts w:hint="eastAsia" w:ascii="宋体" w:hAnsi="宋体" w:eastAsia="宋体" w:cs="宋体"/>
                <w:i w:val="0"/>
                <w:color w:val="000000"/>
                <w:sz w:val="18"/>
                <w:szCs w:val="18"/>
                <w:u w:val="none"/>
              </w:rPr>
              <w:t>项目分为工程类、服务费、货物类三个标段，服务类标段即办案用房和专业技术用房改造升级项目（信息化建设标段），22年4月开标，5月签订合同。</w:t>
            </w:r>
            <w:r>
              <w:rPr>
                <w:rFonts w:hint="eastAsia" w:ascii="宋体" w:hAnsi="宋体" w:eastAsia="宋体" w:cs="宋体"/>
                <w:i w:val="0"/>
                <w:color w:val="000000"/>
                <w:sz w:val="18"/>
                <w:szCs w:val="18"/>
                <w:u w:val="none"/>
              </w:rPr>
              <w:tab/>
            </w:r>
            <w:r>
              <w:rPr>
                <w:rFonts w:hint="eastAsia" w:ascii="宋体" w:hAnsi="宋体" w:eastAsia="宋体" w:cs="宋体"/>
                <w:i w:val="0"/>
                <w:color w:val="000000"/>
                <w:sz w:val="18"/>
                <w:szCs w:val="18"/>
                <w:u w:val="none"/>
              </w:rPr>
              <w:tab/>
            </w:r>
            <w:r>
              <w:rPr>
                <w:rFonts w:hint="eastAsia" w:ascii="宋体" w:hAnsi="宋体" w:eastAsia="宋体" w:cs="宋体"/>
                <w:i w:val="0"/>
                <w:color w:val="000000"/>
                <w:sz w:val="18"/>
                <w:szCs w:val="18"/>
                <w:u w:val="none"/>
              </w:rPr>
              <w:tab/>
            </w:r>
            <w:r>
              <w:rPr>
                <w:rFonts w:hint="eastAsia" w:ascii="宋体" w:hAnsi="宋体" w:eastAsia="宋体" w:cs="宋体"/>
                <w:i w:val="0"/>
                <w:color w:val="000000"/>
                <w:sz w:val="18"/>
                <w:szCs w:val="18"/>
                <w:u w:val="none"/>
              </w:rPr>
              <w:tab/>
            </w:r>
            <w:r>
              <w:rPr>
                <w:rFonts w:hint="eastAsia" w:ascii="宋体" w:hAnsi="宋体" w:eastAsia="宋体" w:cs="宋体"/>
                <w:i w:val="0"/>
                <w:color w:val="000000"/>
                <w:sz w:val="18"/>
                <w:szCs w:val="18"/>
                <w:u w:val="none"/>
              </w:rPr>
              <w:tab/>
            </w:r>
            <w:r>
              <w:rPr>
                <w:rFonts w:hint="eastAsia" w:ascii="宋体" w:hAnsi="宋体" w:eastAsia="宋体" w:cs="宋体"/>
                <w:i w:val="0"/>
                <w:color w:val="000000"/>
                <w:sz w:val="18"/>
                <w:szCs w:val="18"/>
                <w:u w:val="none"/>
              </w:rPr>
              <w:tab/>
            </w:r>
            <w:r>
              <w:rPr>
                <w:rFonts w:hint="eastAsia" w:ascii="宋体" w:hAnsi="宋体" w:eastAsia="宋体" w:cs="宋体"/>
                <w:i w:val="0"/>
                <w:color w:val="000000"/>
                <w:sz w:val="18"/>
                <w:szCs w:val="18"/>
                <w:u w:val="none"/>
              </w:rPr>
              <w:tab/>
            </w:r>
            <w:r>
              <w:rPr>
                <w:rFonts w:hint="eastAsia" w:ascii="宋体" w:hAnsi="宋体" w:eastAsia="宋体" w:cs="宋体"/>
                <w:i w:val="0"/>
                <w:color w:val="000000"/>
                <w:sz w:val="18"/>
                <w:szCs w:val="18"/>
                <w:u w:val="none"/>
              </w:rPr>
              <w:tab/>
            </w:r>
          </w:p>
        </w:tc>
      </w:tr>
      <w:tr>
        <w:tblPrEx>
          <w:tblLayout w:type="fixed"/>
          <w:tblCellMar>
            <w:top w:w="0" w:type="dxa"/>
            <w:left w:w="0" w:type="dxa"/>
            <w:bottom w:w="0" w:type="dxa"/>
            <w:right w:w="0" w:type="dxa"/>
          </w:tblCellMar>
        </w:tblPrEx>
        <w:trPr>
          <w:trHeight w:val="317" w:hRule="atLeast"/>
        </w:trPr>
        <w:tc>
          <w:tcPr>
            <w:tcW w:w="112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预算执行情况（10分）</w:t>
            </w: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年度预算数（万元）</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年初预算</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调整后预算数</w:t>
            </w: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得分</w:t>
            </w:r>
          </w:p>
        </w:tc>
        <w:tc>
          <w:tcPr>
            <w:tcW w:w="1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原因</w:t>
            </w:r>
          </w:p>
        </w:tc>
      </w:tr>
      <w:tr>
        <w:tblPrEx>
          <w:tblLayout w:type="fixed"/>
          <w:tblCellMar>
            <w:top w:w="0" w:type="dxa"/>
            <w:left w:w="0" w:type="dxa"/>
            <w:bottom w:w="0" w:type="dxa"/>
            <w:right w:w="0" w:type="dxa"/>
          </w:tblCellMar>
        </w:tblPrEx>
        <w:trPr>
          <w:trHeight w:val="92"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总额</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30.00</w:t>
            </w: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30.00</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114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color w:val="000000"/>
                <w:sz w:val="18"/>
                <w:szCs w:val="18"/>
                <w:u w:val="none"/>
              </w:rPr>
            </w:pPr>
            <w:r>
              <w:rPr>
                <w:rFonts w:hint="eastAsia" w:ascii="黑体" w:hAnsi="黑体" w:eastAsia="黑体" w:cs="黑体"/>
                <w:i/>
                <w:color w:val="000000"/>
                <w:kern w:val="0"/>
                <w:sz w:val="18"/>
                <w:szCs w:val="18"/>
                <w:u w:val="none"/>
                <w:lang w:val="en-US" w:eastAsia="zh-CN" w:bidi="ar"/>
              </w:rPr>
              <w:t>沿滩区财政局保障资金，流程为资金先上缴市财政，再追加项目预算。</w:t>
            </w:r>
          </w:p>
        </w:tc>
      </w:tr>
      <w:tr>
        <w:tblPrEx>
          <w:tblLayout w:type="fixed"/>
          <w:tblCellMar>
            <w:top w:w="0" w:type="dxa"/>
            <w:left w:w="0" w:type="dxa"/>
            <w:bottom w:w="0" w:type="dxa"/>
            <w:right w:w="0" w:type="dxa"/>
          </w:tblCellMar>
        </w:tblPrEx>
        <w:trPr>
          <w:trHeight w:val="125"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其中：财政资金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290"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财政专户管理资金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303"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单位资金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30.00</w:t>
            </w: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30.00</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90"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其他资金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317" w:hRule="atLeast"/>
        </w:trPr>
        <w:tc>
          <w:tcPr>
            <w:tcW w:w="112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绩效指标（90分）</w:t>
            </w: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一级指标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二级指标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指标性质</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度量单位</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得分</w:t>
            </w:r>
          </w:p>
        </w:tc>
        <w:tc>
          <w:tcPr>
            <w:tcW w:w="1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未完成原因分析</w:t>
            </w:r>
          </w:p>
        </w:tc>
      </w:tr>
      <w:tr>
        <w:tblPrEx>
          <w:tblLayout w:type="fixed"/>
          <w:tblCellMar>
            <w:top w:w="0" w:type="dxa"/>
            <w:left w:w="0" w:type="dxa"/>
            <w:bottom w:w="0" w:type="dxa"/>
            <w:right w:w="0" w:type="dxa"/>
          </w:tblCellMar>
        </w:tblPrEx>
        <w:trPr>
          <w:trHeight w:val="452"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1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覆盖面积4层3640平方米</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3640</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平方米</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3640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w:t>
            </w:r>
          </w:p>
        </w:tc>
        <w:tc>
          <w:tcPr>
            <w:tcW w:w="1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属于跨年项目，正常推进过程中，尚未完工</w:t>
            </w:r>
          </w:p>
        </w:tc>
      </w:tr>
      <w:tr>
        <w:tblPrEx>
          <w:tblLayout w:type="fixed"/>
          <w:tblCellMar>
            <w:top w:w="0" w:type="dxa"/>
            <w:left w:w="0" w:type="dxa"/>
            <w:bottom w:w="0" w:type="dxa"/>
            <w:right w:w="0" w:type="dxa"/>
          </w:tblCellMar>
        </w:tblPrEx>
        <w:trPr>
          <w:trHeight w:val="294"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1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时效指标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按合同规定时间完成升级改造</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1</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618"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1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效果指标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完成2.0检察工作专网信息化建设</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座</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1</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1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实现办案专业化</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高中低</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高</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452" w:hRule="atLeast"/>
        </w:trPr>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1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可持续影响指标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推荐检察办案工作规范化建设</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高中低</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高</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286" w:hRule="atLeast"/>
        </w:trPr>
        <w:tc>
          <w:tcPr>
            <w:tcW w:w="8174"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95</w:t>
            </w:r>
          </w:p>
        </w:tc>
        <w:tc>
          <w:tcPr>
            <w:tcW w:w="1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Layout w:type="fixed"/>
          <w:tblCellMar>
            <w:top w:w="0" w:type="dxa"/>
            <w:left w:w="0" w:type="dxa"/>
            <w:bottom w:w="0" w:type="dxa"/>
            <w:right w:w="0" w:type="dxa"/>
          </w:tblCellMar>
        </w:tblPrEx>
        <w:trPr>
          <w:trHeight w:val="30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评价结论</w:t>
            </w:r>
          </w:p>
        </w:tc>
        <w:tc>
          <w:tcPr>
            <w:tcW w:w="9150"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自评分数为95，项目于22年7月展开，目前正在准备结算审评，项目进入尾声。</w:t>
            </w:r>
          </w:p>
        </w:tc>
      </w:tr>
      <w:tr>
        <w:tblPrEx>
          <w:tblLayout w:type="fixed"/>
          <w:tblCellMar>
            <w:top w:w="0" w:type="dxa"/>
            <w:left w:w="0" w:type="dxa"/>
            <w:bottom w:w="0" w:type="dxa"/>
            <w:right w:w="0" w:type="dxa"/>
          </w:tblCellMar>
        </w:tblPrEx>
        <w:trPr>
          <w:trHeight w:val="219"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存在问题</w:t>
            </w:r>
          </w:p>
        </w:tc>
        <w:tc>
          <w:tcPr>
            <w:tcW w:w="9150"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跨年项目未再具体细分到相应年度要求。</w:t>
            </w:r>
          </w:p>
        </w:tc>
      </w:tr>
      <w:tr>
        <w:tblPrEx>
          <w:tblLayout w:type="fixed"/>
          <w:tblCellMar>
            <w:top w:w="0" w:type="dxa"/>
            <w:left w:w="0" w:type="dxa"/>
            <w:bottom w:w="0" w:type="dxa"/>
            <w:right w:w="0" w:type="dxa"/>
          </w:tblCellMar>
        </w:tblPrEx>
        <w:trPr>
          <w:trHeight w:val="33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改进措施</w:t>
            </w:r>
          </w:p>
        </w:tc>
        <w:tc>
          <w:tcPr>
            <w:tcW w:w="9150"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针对跨年项目，未来将项目目标具体到不同年度，以考核年度绩效达成情况。</w:t>
            </w:r>
          </w:p>
        </w:tc>
      </w:tr>
      <w:tr>
        <w:tblPrEx>
          <w:tblLayout w:type="fixed"/>
          <w:tblCellMar>
            <w:top w:w="0" w:type="dxa"/>
            <w:left w:w="0" w:type="dxa"/>
            <w:bottom w:w="0" w:type="dxa"/>
            <w:right w:w="0" w:type="dxa"/>
          </w:tblCellMar>
        </w:tblPrEx>
        <w:trPr>
          <w:trHeight w:val="286" w:hRule="atLeast"/>
        </w:trPr>
        <w:tc>
          <w:tcPr>
            <w:tcW w:w="571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项目负责人：黄富磊</w:t>
            </w:r>
          </w:p>
        </w:tc>
        <w:tc>
          <w:tcPr>
            <w:tcW w:w="4558"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财务负责人：靳晗</w:t>
            </w:r>
          </w:p>
        </w:tc>
      </w:tr>
    </w:tbl>
    <w:p>
      <w:pPr>
        <w:keepNext w:val="0"/>
        <w:keepLines w:val="0"/>
        <w:pageBreakBefore w:val="0"/>
        <w:widowControl/>
        <w:kinsoku/>
        <w:wordWrap/>
        <w:overflowPunct/>
        <w:topLinePunct w:val="0"/>
        <w:autoSpaceDE/>
        <w:autoSpaceDN/>
        <w:bidi w:val="0"/>
        <w:adjustRightInd w:val="0"/>
        <w:snapToGrid w:val="0"/>
        <w:spacing w:line="560" w:lineRule="exact"/>
        <w:contextualSpacing/>
        <w:jc w:val="center"/>
        <w:textAlignment w:val="auto"/>
        <w:rPr>
          <w:rFonts w:hint="eastAsia" w:ascii="黑体" w:hAnsi="黑体" w:eastAsia="黑体" w:cs="黑体"/>
          <w:color w:val="000000"/>
          <w:kern w:val="0"/>
          <w:sz w:val="32"/>
          <w:szCs w:val="32"/>
          <w:highlight w:val="none"/>
          <w:shd w:val="clear" w:color="auto" w:fill="FFFFFF"/>
          <w:lang w:val="en-US" w:eastAsia="zh-CN"/>
        </w:rPr>
      </w:pPr>
    </w:p>
    <w:tbl>
      <w:tblPr>
        <w:tblStyle w:val="12"/>
        <w:tblpPr w:leftFromText="180" w:rightFromText="180" w:vertAnchor="text" w:horzAnchor="page" w:tblpX="1123" w:tblpY="588"/>
        <w:tblOverlap w:val="never"/>
        <w:tblW w:w="10137" w:type="dxa"/>
        <w:tblInd w:w="0" w:type="dxa"/>
        <w:shd w:val="clear" w:color="auto" w:fill="auto"/>
        <w:tblLayout w:type="fixed"/>
        <w:tblCellMar>
          <w:top w:w="0" w:type="dxa"/>
          <w:left w:w="0" w:type="dxa"/>
          <w:bottom w:w="0" w:type="dxa"/>
          <w:right w:w="0" w:type="dxa"/>
        </w:tblCellMar>
      </w:tblPr>
      <w:tblGrid>
        <w:gridCol w:w="895"/>
        <w:gridCol w:w="1542"/>
        <w:gridCol w:w="1380"/>
        <w:gridCol w:w="1380"/>
        <w:gridCol w:w="521"/>
        <w:gridCol w:w="1080"/>
        <w:gridCol w:w="521"/>
        <w:gridCol w:w="855"/>
        <w:gridCol w:w="505"/>
        <w:gridCol w:w="456"/>
        <w:gridCol w:w="1002"/>
      </w:tblGrid>
      <w:tr>
        <w:tblPrEx>
          <w:shd w:val="clear" w:color="auto" w:fill="auto"/>
          <w:tblLayout w:type="fixed"/>
          <w:tblCellMar>
            <w:top w:w="0" w:type="dxa"/>
            <w:left w:w="0" w:type="dxa"/>
            <w:bottom w:w="0" w:type="dxa"/>
            <w:right w:w="0" w:type="dxa"/>
          </w:tblCellMar>
        </w:tblPrEx>
        <w:trPr>
          <w:trHeight w:val="904" w:hRule="atLeast"/>
        </w:trPr>
        <w:tc>
          <w:tcPr>
            <w:tcW w:w="10137" w:type="dxa"/>
            <w:gridSpan w:val="11"/>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黑体" w:hAnsi="宋体" w:eastAsia="黑体" w:cs="黑体"/>
                <w:b/>
                <w:i w:val="0"/>
                <w:color w:val="000000"/>
                <w:sz w:val="30"/>
                <w:szCs w:val="30"/>
                <w:u w:val="none"/>
              </w:rPr>
            </w:pPr>
            <w:r>
              <w:rPr>
                <w:rFonts w:hint="eastAsia" w:ascii="黑体" w:hAnsi="宋体" w:eastAsia="黑体" w:cs="黑体"/>
                <w:b/>
                <w:i w:val="0"/>
                <w:color w:val="000000"/>
                <w:kern w:val="0"/>
                <w:sz w:val="30"/>
                <w:szCs w:val="30"/>
                <w:u w:val="none"/>
                <w:lang w:val="en-US" w:eastAsia="zh-CN" w:bidi="ar"/>
              </w:rPr>
              <w:t>部门预算项目支出绩效自评表（2022年度）</w:t>
            </w:r>
          </w:p>
        </w:tc>
      </w:tr>
      <w:tr>
        <w:tblPrEx>
          <w:tblLayout w:type="fixed"/>
          <w:tblCellMar>
            <w:top w:w="0" w:type="dxa"/>
            <w:left w:w="0" w:type="dxa"/>
            <w:bottom w:w="0" w:type="dxa"/>
            <w:right w:w="0" w:type="dxa"/>
          </w:tblCellMar>
        </w:tblPrEx>
        <w:trPr>
          <w:trHeight w:val="286" w:hRule="atLeast"/>
        </w:trPr>
        <w:tc>
          <w:tcPr>
            <w:tcW w:w="243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项目名称</w:t>
            </w:r>
          </w:p>
        </w:tc>
        <w:tc>
          <w:tcPr>
            <w:tcW w:w="7700"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51030022T000005997436-区（县）法院、检察院四川省政法纪检监察转移支付结转资金项目</w:t>
            </w:r>
          </w:p>
        </w:tc>
      </w:tr>
      <w:tr>
        <w:tblPrEx>
          <w:tblLayout w:type="fixed"/>
          <w:tblCellMar>
            <w:top w:w="0" w:type="dxa"/>
            <w:left w:w="0" w:type="dxa"/>
            <w:bottom w:w="0" w:type="dxa"/>
            <w:right w:w="0" w:type="dxa"/>
          </w:tblCellMar>
        </w:tblPrEx>
        <w:trPr>
          <w:trHeight w:val="512" w:hRule="atLeast"/>
        </w:trPr>
        <w:tc>
          <w:tcPr>
            <w:tcW w:w="243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主管部门</w:t>
            </w:r>
          </w:p>
        </w:tc>
        <w:tc>
          <w:tcPr>
            <w:tcW w:w="488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自贡市沿滩区人民检察院部门</w:t>
            </w:r>
          </w:p>
        </w:tc>
        <w:tc>
          <w:tcPr>
            <w:tcW w:w="855" w:type="dxa"/>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实施单位 （盖章）</w:t>
            </w:r>
          </w:p>
        </w:tc>
        <w:tc>
          <w:tcPr>
            <w:tcW w:w="196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自贡市沿滩区人民检察院</w:t>
            </w:r>
          </w:p>
        </w:tc>
      </w:tr>
      <w:tr>
        <w:tblPrEx>
          <w:tblLayout w:type="fixed"/>
          <w:tblCellMar>
            <w:top w:w="0" w:type="dxa"/>
            <w:left w:w="0" w:type="dxa"/>
            <w:bottom w:w="0" w:type="dxa"/>
            <w:right w:w="0" w:type="dxa"/>
          </w:tblCellMar>
        </w:tblPrEx>
        <w:trPr>
          <w:trHeight w:val="286" w:hRule="atLeast"/>
        </w:trPr>
        <w:tc>
          <w:tcPr>
            <w:tcW w:w="8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项目基本情况</w:t>
            </w:r>
          </w:p>
        </w:tc>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1.项目年度目标完成情况</w:t>
            </w:r>
          </w:p>
        </w:tc>
        <w:tc>
          <w:tcPr>
            <w:tcW w:w="488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项目年度目标</w:t>
            </w:r>
          </w:p>
        </w:tc>
        <w:tc>
          <w:tcPr>
            <w:tcW w:w="2818"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年度目标完成情况</w:t>
            </w:r>
          </w:p>
        </w:tc>
      </w:tr>
      <w:tr>
        <w:tblPrEx>
          <w:tblLayout w:type="fixed"/>
          <w:tblCellMar>
            <w:top w:w="0" w:type="dxa"/>
            <w:left w:w="0" w:type="dxa"/>
            <w:bottom w:w="0" w:type="dxa"/>
            <w:right w:w="0" w:type="dxa"/>
          </w:tblCellMar>
        </w:tblPrEx>
        <w:trPr>
          <w:trHeight w:val="708"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4882"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坚持聚焦主业监督，司法公信提升新高度；完成对刑事案件提起公诉、对人民法院的刑事判决等合法进行监督、对侦查案件进行审查、对羁押必要性进行审查监督等案件</w:t>
            </w:r>
          </w:p>
        </w:tc>
        <w:tc>
          <w:tcPr>
            <w:tcW w:w="2818"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打击破坏市场经济犯罪，深入推进扫黑除恶专项斗争，充分行使审查逮捕、起诉等检察职能；积极推进认罪认罚从宽全面落实，加强职务犯罪检察工作，以法律监督化办理刑事检察监督</w:t>
            </w:r>
          </w:p>
        </w:tc>
      </w:tr>
      <w:tr>
        <w:tblPrEx>
          <w:tblLayout w:type="fixed"/>
          <w:tblCellMar>
            <w:top w:w="0" w:type="dxa"/>
            <w:left w:w="0" w:type="dxa"/>
            <w:bottom w:w="0" w:type="dxa"/>
            <w:right w:w="0" w:type="dxa"/>
          </w:tblCellMar>
        </w:tblPrEx>
        <w:trPr>
          <w:trHeight w:val="693"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2.项目实施内容及过程概述</w:t>
            </w:r>
          </w:p>
        </w:tc>
        <w:tc>
          <w:tcPr>
            <w:tcW w:w="7700"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根据相关制度和要求，严格实施用款计划及资金支付审批，做到专款专用。</w:t>
            </w:r>
          </w:p>
        </w:tc>
      </w:tr>
      <w:tr>
        <w:tblPrEx>
          <w:tblLayout w:type="fixed"/>
          <w:tblCellMar>
            <w:top w:w="0" w:type="dxa"/>
            <w:left w:w="0" w:type="dxa"/>
            <w:bottom w:w="0" w:type="dxa"/>
            <w:right w:w="0" w:type="dxa"/>
          </w:tblCellMar>
        </w:tblPrEx>
        <w:trPr>
          <w:trHeight w:val="361" w:hRule="atLeast"/>
        </w:trPr>
        <w:tc>
          <w:tcPr>
            <w:tcW w:w="8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预算执行情况（10分）</w:t>
            </w:r>
          </w:p>
        </w:tc>
        <w:tc>
          <w:tcPr>
            <w:tcW w:w="15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年度预算数（万元）</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年初预算</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调整后预算数</w:t>
            </w: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得分</w:t>
            </w:r>
          </w:p>
        </w:tc>
        <w:tc>
          <w:tcPr>
            <w:tcW w:w="1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原因</w:t>
            </w:r>
          </w:p>
        </w:tc>
      </w:tr>
      <w:tr>
        <w:tblPrEx>
          <w:tblLayout w:type="fixed"/>
          <w:tblCellMar>
            <w:top w:w="0" w:type="dxa"/>
            <w:left w:w="0" w:type="dxa"/>
            <w:bottom w:w="0" w:type="dxa"/>
            <w:right w:w="0" w:type="dxa"/>
          </w:tblCellMar>
        </w:tblPrEx>
        <w:trPr>
          <w:trHeight w:val="387"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总额</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85.75</w:t>
            </w: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85.75</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100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color w:val="000000"/>
                <w:sz w:val="18"/>
                <w:szCs w:val="18"/>
                <w:u w:val="none"/>
              </w:rPr>
            </w:pPr>
            <w:r>
              <w:rPr>
                <w:rFonts w:hint="eastAsia" w:ascii="黑体" w:hAnsi="黑体" w:eastAsia="黑体" w:cs="黑体"/>
                <w:i/>
                <w:color w:val="000000"/>
                <w:kern w:val="0"/>
                <w:sz w:val="18"/>
                <w:szCs w:val="18"/>
                <w:u w:val="none"/>
                <w:lang w:val="en-US" w:eastAsia="zh-CN" w:bidi="ar"/>
              </w:rPr>
              <w:t>年初预算编制之后增加的项目</w:t>
            </w:r>
          </w:p>
        </w:tc>
      </w:tr>
      <w:tr>
        <w:tblPrEx>
          <w:tblLayout w:type="fixed"/>
          <w:tblCellMar>
            <w:top w:w="0" w:type="dxa"/>
            <w:left w:w="0" w:type="dxa"/>
            <w:bottom w:w="0" w:type="dxa"/>
            <w:right w:w="0" w:type="dxa"/>
          </w:tblCellMar>
        </w:tblPrEx>
        <w:trPr>
          <w:trHeight w:val="432"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其中：财政资金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85.75</w:t>
            </w: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85.75</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0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47"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财政专户管理资金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0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02"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单位资金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0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379"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其他资金</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212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0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52" w:hRule="atLeast"/>
        </w:trPr>
        <w:tc>
          <w:tcPr>
            <w:tcW w:w="8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绩效指标（90分）</w:t>
            </w:r>
          </w:p>
        </w:tc>
        <w:tc>
          <w:tcPr>
            <w:tcW w:w="15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一级指标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二级指标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指标性质</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指标值</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度量单位</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得分</w:t>
            </w:r>
          </w:p>
        </w:tc>
        <w:tc>
          <w:tcPr>
            <w:tcW w:w="1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未完成原因分析</w:t>
            </w:r>
          </w:p>
        </w:tc>
      </w:tr>
      <w:tr>
        <w:tblPrEx>
          <w:tblLayout w:type="fixed"/>
          <w:tblCellMar>
            <w:top w:w="0" w:type="dxa"/>
            <w:left w:w="0" w:type="dxa"/>
            <w:bottom w:w="0" w:type="dxa"/>
            <w:right w:w="0" w:type="dxa"/>
          </w:tblCellMar>
        </w:tblPrEx>
        <w:trPr>
          <w:trHeight w:val="339"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案件完成情况</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200</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件</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455</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8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质量指标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购置装备合格率</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100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18</w:t>
            </w:r>
          </w:p>
        </w:tc>
        <w:tc>
          <w:tcPr>
            <w:tcW w:w="1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案件质量合格率</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100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18</w:t>
            </w:r>
          </w:p>
        </w:tc>
        <w:tc>
          <w:tcPr>
            <w:tcW w:w="1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452"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社会效益指标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法律效果与社会效果匹配度</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100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18</w:t>
            </w:r>
          </w:p>
        </w:tc>
        <w:tc>
          <w:tcPr>
            <w:tcW w:w="1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8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可持续影响指标</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提高群众安全感满意度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100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w:t>
            </w:r>
          </w:p>
        </w:tc>
        <w:tc>
          <w:tcPr>
            <w:tcW w:w="1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286" w:hRule="atLeast"/>
        </w:trPr>
        <w:tc>
          <w:tcPr>
            <w:tcW w:w="8174"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93</w:t>
            </w:r>
          </w:p>
        </w:tc>
        <w:tc>
          <w:tcPr>
            <w:tcW w:w="10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Layout w:type="fixed"/>
          <w:tblCellMar>
            <w:top w:w="0" w:type="dxa"/>
            <w:left w:w="0" w:type="dxa"/>
            <w:bottom w:w="0" w:type="dxa"/>
            <w:right w:w="0" w:type="dxa"/>
          </w:tblCellMar>
        </w:tblPrEx>
        <w:trPr>
          <w:trHeight w:val="458"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评价结论</w:t>
            </w:r>
          </w:p>
        </w:tc>
        <w:tc>
          <w:tcPr>
            <w:tcW w:w="9242"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 xml:space="preserve">项目实施促进了经济和社会的发展，社会安定情况良好，提高了案件侦查效率，促进了社会公平正义与和谐进步，提高了人民群众安全感。 </w:t>
            </w:r>
          </w:p>
        </w:tc>
      </w:tr>
      <w:tr>
        <w:tblPrEx>
          <w:tblLayout w:type="fixed"/>
          <w:tblCellMar>
            <w:top w:w="0" w:type="dxa"/>
            <w:left w:w="0" w:type="dxa"/>
            <w:bottom w:w="0" w:type="dxa"/>
            <w:right w:w="0" w:type="dxa"/>
          </w:tblCellMar>
        </w:tblPrEx>
        <w:trPr>
          <w:trHeight w:val="340"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存在问题</w:t>
            </w:r>
          </w:p>
        </w:tc>
        <w:tc>
          <w:tcPr>
            <w:tcW w:w="9242"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部分绩效指标设置不合理，只可能等于100%，而不会大于100%</w:t>
            </w:r>
          </w:p>
        </w:tc>
      </w:tr>
      <w:tr>
        <w:tblPrEx>
          <w:tblLayout w:type="fixed"/>
          <w:tblCellMar>
            <w:top w:w="0" w:type="dxa"/>
            <w:left w:w="0" w:type="dxa"/>
            <w:bottom w:w="0" w:type="dxa"/>
            <w:right w:w="0" w:type="dxa"/>
          </w:tblCellMar>
        </w:tblPrEx>
        <w:trPr>
          <w:trHeight w:val="413" w:hRule="atLeast"/>
        </w:trPr>
        <w:tc>
          <w:tcPr>
            <w:tcW w:w="8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改进措施</w:t>
            </w:r>
          </w:p>
        </w:tc>
        <w:tc>
          <w:tcPr>
            <w:tcW w:w="9242"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制定项目绩效指标时更关注指标设置的合理性和有效性</w:t>
            </w:r>
          </w:p>
        </w:tc>
      </w:tr>
      <w:tr>
        <w:tblPrEx>
          <w:tblLayout w:type="fixed"/>
          <w:tblCellMar>
            <w:top w:w="0" w:type="dxa"/>
            <w:left w:w="0" w:type="dxa"/>
            <w:bottom w:w="0" w:type="dxa"/>
            <w:right w:w="0" w:type="dxa"/>
          </w:tblCellMar>
        </w:tblPrEx>
        <w:trPr>
          <w:trHeight w:val="286" w:hRule="atLeast"/>
        </w:trPr>
        <w:tc>
          <w:tcPr>
            <w:tcW w:w="571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项目负责人：汪翠平</w:t>
            </w:r>
          </w:p>
        </w:tc>
        <w:tc>
          <w:tcPr>
            <w:tcW w:w="4419"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财务负责人：靳晗</w:t>
            </w:r>
          </w:p>
        </w:tc>
      </w:tr>
    </w:tbl>
    <w:tbl>
      <w:tblPr>
        <w:tblStyle w:val="12"/>
        <w:tblpPr w:leftFromText="180" w:rightFromText="180" w:vertAnchor="text" w:horzAnchor="page" w:tblpX="1064" w:tblpY="817"/>
        <w:tblOverlap w:val="never"/>
        <w:tblW w:w="9885" w:type="dxa"/>
        <w:tblInd w:w="0" w:type="dxa"/>
        <w:shd w:val="clear" w:color="auto" w:fill="auto"/>
        <w:tblLayout w:type="fixed"/>
        <w:tblCellMar>
          <w:top w:w="0" w:type="dxa"/>
          <w:left w:w="0" w:type="dxa"/>
          <w:bottom w:w="0" w:type="dxa"/>
          <w:right w:w="0" w:type="dxa"/>
        </w:tblCellMar>
      </w:tblPr>
      <w:tblGrid>
        <w:gridCol w:w="683"/>
        <w:gridCol w:w="1469"/>
        <w:gridCol w:w="1259"/>
        <w:gridCol w:w="1274"/>
        <w:gridCol w:w="521"/>
        <w:gridCol w:w="1079"/>
        <w:gridCol w:w="495"/>
        <w:gridCol w:w="855"/>
        <w:gridCol w:w="505"/>
        <w:gridCol w:w="456"/>
        <w:gridCol w:w="1289"/>
      </w:tblGrid>
      <w:tr>
        <w:tblPrEx>
          <w:shd w:val="clear" w:color="auto" w:fill="auto"/>
          <w:tblLayout w:type="fixed"/>
          <w:tblCellMar>
            <w:top w:w="0" w:type="dxa"/>
            <w:left w:w="0" w:type="dxa"/>
            <w:bottom w:w="0" w:type="dxa"/>
            <w:right w:w="0" w:type="dxa"/>
          </w:tblCellMar>
        </w:tblPrEx>
        <w:trPr>
          <w:trHeight w:val="904" w:hRule="atLeast"/>
        </w:trPr>
        <w:tc>
          <w:tcPr>
            <w:tcW w:w="9885" w:type="dxa"/>
            <w:gridSpan w:val="11"/>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黑体" w:hAnsi="宋体" w:eastAsia="黑体" w:cs="黑体"/>
                <w:b/>
                <w:i w:val="0"/>
                <w:color w:val="000000"/>
                <w:sz w:val="30"/>
                <w:szCs w:val="30"/>
                <w:u w:val="none"/>
              </w:rPr>
            </w:pPr>
            <w:r>
              <w:rPr>
                <w:rFonts w:hint="eastAsia" w:ascii="黑体" w:hAnsi="宋体" w:eastAsia="黑体" w:cs="黑体"/>
                <w:b/>
                <w:i w:val="0"/>
                <w:color w:val="000000"/>
                <w:kern w:val="0"/>
                <w:sz w:val="30"/>
                <w:szCs w:val="30"/>
                <w:u w:val="none"/>
                <w:lang w:val="en-US" w:eastAsia="zh-CN" w:bidi="ar"/>
              </w:rPr>
              <w:t>部门预算项目支出绩效自评表（2022年度）</w:t>
            </w:r>
          </w:p>
        </w:tc>
      </w:tr>
      <w:tr>
        <w:tblPrEx>
          <w:tblLayout w:type="fixed"/>
          <w:tblCellMar>
            <w:top w:w="0" w:type="dxa"/>
            <w:left w:w="0" w:type="dxa"/>
            <w:bottom w:w="0" w:type="dxa"/>
            <w:right w:w="0" w:type="dxa"/>
          </w:tblCellMar>
        </w:tblPrEx>
        <w:trPr>
          <w:trHeight w:val="286" w:hRule="atLeast"/>
        </w:trPr>
        <w:tc>
          <w:tcPr>
            <w:tcW w:w="215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项目名称</w:t>
            </w:r>
          </w:p>
        </w:tc>
        <w:tc>
          <w:tcPr>
            <w:tcW w:w="7733"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51030022T000007246298-沿滩区检察院--办公办案运转项目</w:t>
            </w:r>
          </w:p>
        </w:tc>
      </w:tr>
      <w:tr>
        <w:tblPrEx>
          <w:tblLayout w:type="fixed"/>
          <w:tblCellMar>
            <w:top w:w="0" w:type="dxa"/>
            <w:left w:w="0" w:type="dxa"/>
            <w:bottom w:w="0" w:type="dxa"/>
            <w:right w:w="0" w:type="dxa"/>
          </w:tblCellMar>
        </w:tblPrEx>
        <w:trPr>
          <w:trHeight w:val="512" w:hRule="atLeast"/>
        </w:trPr>
        <w:tc>
          <w:tcPr>
            <w:tcW w:w="215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主管部门</w:t>
            </w:r>
          </w:p>
        </w:tc>
        <w:tc>
          <w:tcPr>
            <w:tcW w:w="462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自贡市沿滩区人民检察院部门</w:t>
            </w:r>
          </w:p>
        </w:tc>
        <w:tc>
          <w:tcPr>
            <w:tcW w:w="855" w:type="dxa"/>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实施单位 （盖章）</w:t>
            </w:r>
          </w:p>
        </w:tc>
        <w:tc>
          <w:tcPr>
            <w:tcW w:w="2250"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自贡市沿滩区人民检察院</w:t>
            </w:r>
          </w:p>
        </w:tc>
      </w:tr>
      <w:tr>
        <w:tblPrEx>
          <w:tblLayout w:type="fixed"/>
          <w:tblCellMar>
            <w:top w:w="0" w:type="dxa"/>
            <w:left w:w="0" w:type="dxa"/>
            <w:bottom w:w="0" w:type="dxa"/>
            <w:right w:w="0" w:type="dxa"/>
          </w:tblCellMar>
        </w:tblPrEx>
        <w:trPr>
          <w:trHeight w:val="286" w:hRule="atLeast"/>
        </w:trPr>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项目基本情况</w:t>
            </w:r>
          </w:p>
        </w:tc>
        <w:tc>
          <w:tcPr>
            <w:tcW w:w="146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1.项目年度目标完成情况</w:t>
            </w:r>
          </w:p>
        </w:tc>
        <w:tc>
          <w:tcPr>
            <w:tcW w:w="462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项目年度目标</w:t>
            </w:r>
          </w:p>
        </w:tc>
        <w:tc>
          <w:tcPr>
            <w:tcW w:w="310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年度目标完成情况</w:t>
            </w:r>
          </w:p>
        </w:tc>
      </w:tr>
      <w:tr>
        <w:tblPrEx>
          <w:tblLayout w:type="fixed"/>
          <w:tblCellMar>
            <w:top w:w="0" w:type="dxa"/>
            <w:left w:w="0" w:type="dxa"/>
            <w:bottom w:w="0" w:type="dxa"/>
            <w:right w:w="0" w:type="dxa"/>
          </w:tblCellMar>
        </w:tblPrEx>
        <w:trPr>
          <w:trHeight w:val="708"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4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462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主要用于保障本院办公费、水费、电费、差旅费、其他商品和服务等费用。</w:t>
            </w:r>
          </w:p>
        </w:tc>
        <w:tc>
          <w:tcPr>
            <w:tcW w:w="3105"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保障了本院办公费、水电费、差旅费、其他商品和服务等费用。</w:t>
            </w:r>
          </w:p>
        </w:tc>
      </w:tr>
      <w:tr>
        <w:tblPrEx>
          <w:tblLayout w:type="fixed"/>
          <w:tblCellMar>
            <w:top w:w="0" w:type="dxa"/>
            <w:left w:w="0" w:type="dxa"/>
            <w:bottom w:w="0" w:type="dxa"/>
            <w:right w:w="0" w:type="dxa"/>
          </w:tblCellMar>
        </w:tblPrEx>
        <w:trPr>
          <w:trHeight w:val="693"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2.项目实施内容及过程概述</w:t>
            </w:r>
          </w:p>
        </w:tc>
        <w:tc>
          <w:tcPr>
            <w:tcW w:w="7733"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根据相关制度和要求，严格实施用款计划及资金支付审批，使款项落到实处，保障办公办案工作正常运转。</w:t>
            </w:r>
          </w:p>
        </w:tc>
      </w:tr>
      <w:tr>
        <w:tblPrEx>
          <w:tblLayout w:type="fixed"/>
          <w:tblCellMar>
            <w:top w:w="0" w:type="dxa"/>
            <w:left w:w="0" w:type="dxa"/>
            <w:bottom w:w="0" w:type="dxa"/>
            <w:right w:w="0" w:type="dxa"/>
          </w:tblCellMar>
        </w:tblPrEx>
        <w:trPr>
          <w:trHeight w:val="361" w:hRule="atLeast"/>
        </w:trPr>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预算执行情况（10分）</w:t>
            </w:r>
          </w:p>
        </w:tc>
        <w:tc>
          <w:tcPr>
            <w:tcW w:w="14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年度预算数（万元）</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年初预算</w:t>
            </w: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调整后预算数</w:t>
            </w:r>
          </w:p>
        </w:tc>
        <w:tc>
          <w:tcPr>
            <w:tcW w:w="209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预算执行率</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得分</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原因</w:t>
            </w:r>
          </w:p>
        </w:tc>
      </w:tr>
      <w:tr>
        <w:tblPrEx>
          <w:tblLayout w:type="fixed"/>
          <w:tblCellMar>
            <w:top w:w="0" w:type="dxa"/>
            <w:left w:w="0" w:type="dxa"/>
            <w:bottom w:w="0" w:type="dxa"/>
            <w:right w:w="0" w:type="dxa"/>
          </w:tblCellMar>
        </w:tblPrEx>
        <w:trPr>
          <w:trHeight w:val="387"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总额</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39.93</w:t>
            </w:r>
          </w:p>
        </w:tc>
        <w:tc>
          <w:tcPr>
            <w:tcW w:w="209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39.93</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12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color w:val="000000"/>
                <w:sz w:val="18"/>
                <w:szCs w:val="18"/>
                <w:u w:val="none"/>
              </w:rPr>
            </w:pPr>
            <w:r>
              <w:rPr>
                <w:rFonts w:hint="eastAsia" w:ascii="黑体" w:hAnsi="黑体" w:eastAsia="黑体" w:cs="黑体"/>
                <w:i/>
                <w:color w:val="000000"/>
                <w:kern w:val="0"/>
                <w:sz w:val="18"/>
                <w:szCs w:val="18"/>
                <w:u w:val="none"/>
                <w:lang w:val="en-US" w:eastAsia="zh-CN" w:bidi="ar"/>
              </w:rPr>
              <w:t>年初预算编制之后增加的项目</w:t>
            </w:r>
          </w:p>
        </w:tc>
      </w:tr>
      <w:tr>
        <w:tblPrEx>
          <w:tblLayout w:type="fixed"/>
          <w:tblCellMar>
            <w:top w:w="0" w:type="dxa"/>
            <w:left w:w="0" w:type="dxa"/>
            <w:bottom w:w="0" w:type="dxa"/>
            <w:right w:w="0" w:type="dxa"/>
          </w:tblCellMar>
        </w:tblPrEx>
        <w:trPr>
          <w:trHeight w:val="432"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其中：财政资金</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39.93</w:t>
            </w:r>
          </w:p>
        </w:tc>
        <w:tc>
          <w:tcPr>
            <w:tcW w:w="209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39.93</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2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47"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财政专户管理资金</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209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2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02"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单位资金</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209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2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379"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其他资金</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209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2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52" w:hRule="atLeast"/>
        </w:trPr>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绩效指标（90分）</w:t>
            </w:r>
          </w:p>
        </w:tc>
        <w:tc>
          <w:tcPr>
            <w:tcW w:w="14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一级指标</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二级指标</w:t>
            </w: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三级指标</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指标性质</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指标值</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度量单位</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完成值</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权重</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得分</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未完成原因分析</w:t>
            </w:r>
          </w:p>
        </w:tc>
      </w:tr>
      <w:tr>
        <w:tblPrEx>
          <w:tblLayout w:type="fixed"/>
          <w:tblCellMar>
            <w:top w:w="0" w:type="dxa"/>
            <w:left w:w="0" w:type="dxa"/>
            <w:bottom w:w="0" w:type="dxa"/>
            <w:right w:w="0" w:type="dxa"/>
          </w:tblCellMar>
        </w:tblPrEx>
        <w:trPr>
          <w:trHeight w:val="339"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46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125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保障人数</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55</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人</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55</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4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25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全年办公办案支出</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46</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万元</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39.93</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18</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4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时效指标</w:t>
            </w: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保障办公办案运转</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12</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月</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12</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可持续发展指标</w:t>
            </w: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保障检察工作顺利开展</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优良中低差</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优</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18</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12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提高群众满意度</w:t>
            </w:r>
          </w:p>
        </w:tc>
        <w:tc>
          <w:tcPr>
            <w:tcW w:w="5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95</w:t>
            </w:r>
          </w:p>
        </w:tc>
        <w:tc>
          <w:tcPr>
            <w:tcW w:w="4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95</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286" w:hRule="atLeast"/>
        </w:trPr>
        <w:tc>
          <w:tcPr>
            <w:tcW w:w="7635"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合计</w:t>
            </w:r>
          </w:p>
        </w:tc>
        <w:tc>
          <w:tcPr>
            <w:tcW w:w="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4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95</w:t>
            </w:r>
          </w:p>
        </w:tc>
        <w:tc>
          <w:tcPr>
            <w:tcW w:w="12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Layout w:type="fixed"/>
          <w:tblCellMar>
            <w:top w:w="0" w:type="dxa"/>
            <w:left w:w="0" w:type="dxa"/>
            <w:bottom w:w="0" w:type="dxa"/>
            <w:right w:w="0" w:type="dxa"/>
          </w:tblCellMar>
        </w:tblPrEx>
        <w:trPr>
          <w:trHeight w:val="603"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评价结论</w:t>
            </w:r>
          </w:p>
        </w:tc>
        <w:tc>
          <w:tcPr>
            <w:tcW w:w="9202"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自评总分95分，保障了办公办案事项运转</w:t>
            </w:r>
          </w:p>
        </w:tc>
      </w:tr>
      <w:tr>
        <w:tblPrEx>
          <w:tblLayout w:type="fixed"/>
          <w:tblCellMar>
            <w:top w:w="0" w:type="dxa"/>
            <w:left w:w="0" w:type="dxa"/>
            <w:bottom w:w="0" w:type="dxa"/>
            <w:right w:w="0" w:type="dxa"/>
          </w:tblCellMar>
        </w:tblPrEx>
        <w:trPr>
          <w:trHeight w:val="572"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存在问题</w:t>
            </w:r>
          </w:p>
        </w:tc>
        <w:tc>
          <w:tcPr>
            <w:tcW w:w="9202"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绩效目标设定存在一定偏差</w:t>
            </w:r>
          </w:p>
        </w:tc>
      </w:tr>
      <w:tr>
        <w:tblPrEx>
          <w:tblLayout w:type="fixed"/>
          <w:tblCellMar>
            <w:top w:w="0" w:type="dxa"/>
            <w:left w:w="0" w:type="dxa"/>
            <w:bottom w:w="0" w:type="dxa"/>
            <w:right w:w="0" w:type="dxa"/>
          </w:tblCellMar>
        </w:tblPrEx>
        <w:trPr>
          <w:trHeight w:val="633" w:hRule="atLeast"/>
        </w:trPr>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改进措施</w:t>
            </w:r>
          </w:p>
        </w:tc>
        <w:tc>
          <w:tcPr>
            <w:tcW w:w="9202"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加强各部门协调对接，提升绩效目标设定精准度</w:t>
            </w:r>
          </w:p>
        </w:tc>
      </w:tr>
      <w:tr>
        <w:tblPrEx>
          <w:tblLayout w:type="fixed"/>
          <w:tblCellMar>
            <w:top w:w="0" w:type="dxa"/>
            <w:left w:w="0" w:type="dxa"/>
            <w:bottom w:w="0" w:type="dxa"/>
            <w:right w:w="0" w:type="dxa"/>
          </w:tblCellMar>
        </w:tblPrEx>
        <w:trPr>
          <w:trHeight w:val="286" w:hRule="atLeast"/>
        </w:trPr>
        <w:tc>
          <w:tcPr>
            <w:tcW w:w="5206"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项目负责人：汪翠平</w:t>
            </w:r>
          </w:p>
        </w:tc>
        <w:tc>
          <w:tcPr>
            <w:tcW w:w="4679"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财务负责人：靳晗</w:t>
            </w:r>
          </w:p>
        </w:tc>
      </w:tr>
    </w:tbl>
    <w:p>
      <w:pPr>
        <w:widowControl/>
        <w:jc w:val="left"/>
        <w:rPr>
          <w:rStyle w:val="16"/>
          <w:rFonts w:hint="eastAsia" w:ascii="黑体" w:hAnsi="黑体" w:eastAsia="黑体"/>
          <w:b w:val="0"/>
          <w:lang w:eastAsia="zh-CN"/>
        </w:rPr>
      </w:pPr>
    </w:p>
    <w:p>
      <w:pPr>
        <w:widowControl/>
        <w:jc w:val="left"/>
        <w:rPr>
          <w:rStyle w:val="16"/>
          <w:rFonts w:hint="eastAsia" w:ascii="黑体" w:hAnsi="黑体" w:eastAsia="黑体"/>
          <w:b w:val="0"/>
          <w:lang w:eastAsia="zh-CN"/>
        </w:rPr>
      </w:pPr>
    </w:p>
    <w:tbl>
      <w:tblPr>
        <w:tblStyle w:val="12"/>
        <w:tblW w:w="9900" w:type="dxa"/>
        <w:tblInd w:w="-776" w:type="dxa"/>
        <w:shd w:val="clear" w:color="auto" w:fill="auto"/>
        <w:tblLayout w:type="fixed"/>
        <w:tblCellMar>
          <w:top w:w="0" w:type="dxa"/>
          <w:left w:w="0" w:type="dxa"/>
          <w:bottom w:w="0" w:type="dxa"/>
          <w:right w:w="0" w:type="dxa"/>
        </w:tblCellMar>
      </w:tblPr>
      <w:tblGrid>
        <w:gridCol w:w="1177"/>
        <w:gridCol w:w="1339"/>
        <w:gridCol w:w="1396"/>
        <w:gridCol w:w="1177"/>
        <w:gridCol w:w="484"/>
        <w:gridCol w:w="612"/>
        <w:gridCol w:w="692"/>
        <w:gridCol w:w="900"/>
        <w:gridCol w:w="589"/>
        <w:gridCol w:w="496"/>
        <w:gridCol w:w="1038"/>
      </w:tblGrid>
      <w:tr>
        <w:tblPrEx>
          <w:shd w:val="clear" w:color="auto" w:fill="auto"/>
          <w:tblLayout w:type="fixed"/>
          <w:tblCellMar>
            <w:top w:w="0" w:type="dxa"/>
            <w:left w:w="0" w:type="dxa"/>
            <w:bottom w:w="0" w:type="dxa"/>
            <w:right w:w="0" w:type="dxa"/>
          </w:tblCellMar>
        </w:tblPrEx>
        <w:trPr>
          <w:trHeight w:val="904" w:hRule="atLeast"/>
        </w:trPr>
        <w:tc>
          <w:tcPr>
            <w:tcW w:w="9900" w:type="dxa"/>
            <w:gridSpan w:val="11"/>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黑体" w:hAnsi="宋体" w:eastAsia="黑体" w:cs="黑体"/>
                <w:b/>
                <w:i w:val="0"/>
                <w:color w:val="000000"/>
                <w:sz w:val="30"/>
                <w:szCs w:val="30"/>
                <w:u w:val="none"/>
              </w:rPr>
            </w:pPr>
            <w:r>
              <w:rPr>
                <w:rFonts w:hint="eastAsia" w:ascii="黑体" w:hAnsi="宋体" w:eastAsia="黑体" w:cs="黑体"/>
                <w:b/>
                <w:i w:val="0"/>
                <w:color w:val="000000"/>
                <w:kern w:val="0"/>
                <w:sz w:val="30"/>
                <w:szCs w:val="30"/>
                <w:u w:val="none"/>
                <w:lang w:val="en-US" w:eastAsia="zh-CN" w:bidi="ar"/>
              </w:rPr>
              <w:t>部门预算项目支出绩效自评表（2022年度）</w:t>
            </w:r>
          </w:p>
        </w:tc>
      </w:tr>
      <w:tr>
        <w:tblPrEx>
          <w:tblLayout w:type="fixed"/>
          <w:tblCellMar>
            <w:top w:w="0" w:type="dxa"/>
            <w:left w:w="0" w:type="dxa"/>
            <w:bottom w:w="0" w:type="dxa"/>
            <w:right w:w="0" w:type="dxa"/>
          </w:tblCellMar>
        </w:tblPrEx>
        <w:trPr>
          <w:trHeight w:val="286" w:hRule="atLeast"/>
        </w:trPr>
        <w:tc>
          <w:tcPr>
            <w:tcW w:w="25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项目名称</w:t>
            </w:r>
          </w:p>
        </w:tc>
        <w:tc>
          <w:tcPr>
            <w:tcW w:w="7384"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51030022T000007246301-沿滩区检察院--检察绩效项目</w:t>
            </w:r>
          </w:p>
        </w:tc>
      </w:tr>
      <w:tr>
        <w:tblPrEx>
          <w:tblLayout w:type="fixed"/>
          <w:tblCellMar>
            <w:top w:w="0" w:type="dxa"/>
            <w:left w:w="0" w:type="dxa"/>
            <w:bottom w:w="0" w:type="dxa"/>
            <w:right w:w="0" w:type="dxa"/>
          </w:tblCellMar>
        </w:tblPrEx>
        <w:trPr>
          <w:trHeight w:val="512" w:hRule="atLeast"/>
        </w:trPr>
        <w:tc>
          <w:tcPr>
            <w:tcW w:w="251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主管部门</w:t>
            </w:r>
          </w:p>
        </w:tc>
        <w:tc>
          <w:tcPr>
            <w:tcW w:w="436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自贡市沿滩区人民检察院部门</w:t>
            </w:r>
          </w:p>
        </w:tc>
        <w:tc>
          <w:tcPr>
            <w:tcW w:w="900" w:type="dxa"/>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实施单位 （盖章）</w:t>
            </w:r>
          </w:p>
        </w:tc>
        <w:tc>
          <w:tcPr>
            <w:tcW w:w="2123"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自贡市沿滩区人民检察院</w:t>
            </w:r>
          </w:p>
        </w:tc>
      </w:tr>
      <w:tr>
        <w:tblPrEx>
          <w:tblLayout w:type="fixed"/>
          <w:tblCellMar>
            <w:top w:w="0" w:type="dxa"/>
            <w:left w:w="0" w:type="dxa"/>
            <w:bottom w:w="0" w:type="dxa"/>
            <w:right w:w="0" w:type="dxa"/>
          </w:tblCellMar>
        </w:tblPrEx>
        <w:trPr>
          <w:trHeight w:val="286" w:hRule="atLeast"/>
        </w:trPr>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项目基本情况</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1.项目年度目标完成情况</w:t>
            </w:r>
          </w:p>
        </w:tc>
        <w:tc>
          <w:tcPr>
            <w:tcW w:w="436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项目年度目标</w:t>
            </w:r>
          </w:p>
        </w:tc>
        <w:tc>
          <w:tcPr>
            <w:tcW w:w="3023"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年度目标完成情况</w:t>
            </w:r>
          </w:p>
        </w:tc>
      </w:tr>
      <w:tr>
        <w:tblPrEx>
          <w:tblLayout w:type="fixed"/>
          <w:tblCellMar>
            <w:top w:w="0" w:type="dxa"/>
            <w:left w:w="0" w:type="dxa"/>
            <w:bottom w:w="0" w:type="dxa"/>
            <w:right w:w="0" w:type="dxa"/>
          </w:tblCellMar>
        </w:tblPrEx>
        <w:trPr>
          <w:trHeight w:val="708"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436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落实司法体制综合配套改革要求，根据三类人员业绩考核等次保障绩效奖金。</w:t>
            </w:r>
          </w:p>
        </w:tc>
        <w:tc>
          <w:tcPr>
            <w:tcW w:w="3023"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按照核定金额，发放绩效奖金。</w:t>
            </w:r>
          </w:p>
        </w:tc>
      </w:tr>
      <w:tr>
        <w:tblPrEx>
          <w:tblLayout w:type="fixed"/>
          <w:tblCellMar>
            <w:top w:w="0" w:type="dxa"/>
            <w:left w:w="0" w:type="dxa"/>
            <w:bottom w:w="0" w:type="dxa"/>
            <w:right w:w="0" w:type="dxa"/>
          </w:tblCellMar>
        </w:tblPrEx>
        <w:trPr>
          <w:trHeight w:val="693"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2.项目实施内容及过程概述</w:t>
            </w:r>
          </w:p>
        </w:tc>
        <w:tc>
          <w:tcPr>
            <w:tcW w:w="7384"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根据相关文件要求，按规定和流程核定及发放绩效奖金。</w:t>
            </w:r>
          </w:p>
        </w:tc>
      </w:tr>
      <w:tr>
        <w:tblPrEx>
          <w:tblLayout w:type="fixed"/>
          <w:tblCellMar>
            <w:top w:w="0" w:type="dxa"/>
            <w:left w:w="0" w:type="dxa"/>
            <w:bottom w:w="0" w:type="dxa"/>
            <w:right w:w="0" w:type="dxa"/>
          </w:tblCellMar>
        </w:tblPrEx>
        <w:trPr>
          <w:trHeight w:val="361" w:hRule="atLeast"/>
        </w:trPr>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预算执行情况（10分）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年度预算数（万元）</w:t>
            </w:r>
          </w:p>
        </w:tc>
        <w:tc>
          <w:tcPr>
            <w:tcW w:w="13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年初预算</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调整后预算数</w:t>
            </w:r>
          </w:p>
        </w:tc>
        <w:tc>
          <w:tcPr>
            <w:tcW w:w="178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预算执行数</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预算执行率</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权重</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得分</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原因</w:t>
            </w:r>
          </w:p>
        </w:tc>
      </w:tr>
      <w:tr>
        <w:tblPrEx>
          <w:tblLayout w:type="fixed"/>
          <w:tblCellMar>
            <w:top w:w="0" w:type="dxa"/>
            <w:left w:w="0" w:type="dxa"/>
            <w:bottom w:w="0" w:type="dxa"/>
            <w:right w:w="0" w:type="dxa"/>
          </w:tblCellMar>
        </w:tblPrEx>
        <w:trPr>
          <w:trHeight w:val="387"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总额</w:t>
            </w:r>
          </w:p>
        </w:tc>
        <w:tc>
          <w:tcPr>
            <w:tcW w:w="13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64.63</w:t>
            </w:r>
          </w:p>
        </w:tc>
        <w:tc>
          <w:tcPr>
            <w:tcW w:w="178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64.63</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103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color w:val="000000"/>
                <w:sz w:val="18"/>
                <w:szCs w:val="18"/>
                <w:u w:val="none"/>
              </w:rPr>
            </w:pPr>
            <w:r>
              <w:rPr>
                <w:rFonts w:hint="eastAsia" w:ascii="黑体" w:hAnsi="黑体" w:eastAsia="黑体" w:cs="黑体"/>
                <w:i/>
                <w:color w:val="000000"/>
                <w:kern w:val="0"/>
                <w:sz w:val="18"/>
                <w:szCs w:val="18"/>
                <w:u w:val="none"/>
                <w:lang w:val="en-US" w:eastAsia="zh-CN" w:bidi="ar"/>
              </w:rPr>
              <w:t>年初预算编制之后增加的项目</w:t>
            </w:r>
          </w:p>
        </w:tc>
      </w:tr>
      <w:tr>
        <w:tblPrEx>
          <w:tblLayout w:type="fixed"/>
          <w:tblCellMar>
            <w:top w:w="0" w:type="dxa"/>
            <w:left w:w="0" w:type="dxa"/>
            <w:bottom w:w="0" w:type="dxa"/>
            <w:right w:w="0" w:type="dxa"/>
          </w:tblCellMar>
        </w:tblPrEx>
        <w:trPr>
          <w:trHeight w:val="432"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其中：财政资金</w:t>
            </w:r>
          </w:p>
        </w:tc>
        <w:tc>
          <w:tcPr>
            <w:tcW w:w="13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64.63</w:t>
            </w:r>
          </w:p>
        </w:tc>
        <w:tc>
          <w:tcPr>
            <w:tcW w:w="178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64.63</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47"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财政专户管理资金</w:t>
            </w:r>
          </w:p>
        </w:tc>
        <w:tc>
          <w:tcPr>
            <w:tcW w:w="13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78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02"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单位资金</w:t>
            </w:r>
          </w:p>
        </w:tc>
        <w:tc>
          <w:tcPr>
            <w:tcW w:w="13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78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379"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其他资金</w:t>
            </w:r>
          </w:p>
        </w:tc>
        <w:tc>
          <w:tcPr>
            <w:tcW w:w="13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178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3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52" w:hRule="atLeast"/>
        </w:trPr>
        <w:tc>
          <w:tcPr>
            <w:tcW w:w="117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绩效指标（90分）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一级指标</w:t>
            </w:r>
          </w:p>
        </w:tc>
        <w:tc>
          <w:tcPr>
            <w:tcW w:w="13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二级指标</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三级指标</w:t>
            </w:r>
          </w:p>
        </w:tc>
        <w:tc>
          <w:tcPr>
            <w:tcW w:w="4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指标性质</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指标值</w:t>
            </w:r>
          </w:p>
        </w:tc>
        <w:tc>
          <w:tcPr>
            <w:tcW w:w="6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度量单位</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完成值</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权重</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得分</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未完成原因分析</w:t>
            </w:r>
          </w:p>
        </w:tc>
      </w:tr>
      <w:tr>
        <w:tblPrEx>
          <w:tblLayout w:type="fixed"/>
          <w:tblCellMar>
            <w:top w:w="0" w:type="dxa"/>
            <w:left w:w="0" w:type="dxa"/>
            <w:bottom w:w="0" w:type="dxa"/>
            <w:right w:w="0" w:type="dxa"/>
          </w:tblCellMar>
        </w:tblPrEx>
        <w:trPr>
          <w:trHeight w:val="339"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139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保障人数</w:t>
            </w:r>
          </w:p>
        </w:tc>
        <w:tc>
          <w:tcPr>
            <w:tcW w:w="4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37</w:t>
            </w:r>
          </w:p>
        </w:tc>
        <w:tc>
          <w:tcPr>
            <w:tcW w:w="6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人</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36</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9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全年绩效奖金支出</w:t>
            </w:r>
          </w:p>
        </w:tc>
        <w:tc>
          <w:tcPr>
            <w:tcW w:w="4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66</w:t>
            </w:r>
          </w:p>
        </w:tc>
        <w:tc>
          <w:tcPr>
            <w:tcW w:w="6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万元</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64.63</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时效指标</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按时保障机关运转</w:t>
            </w:r>
          </w:p>
        </w:tc>
        <w:tc>
          <w:tcPr>
            <w:tcW w:w="4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12</w:t>
            </w:r>
          </w:p>
        </w:tc>
        <w:tc>
          <w:tcPr>
            <w:tcW w:w="6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月</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12</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13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可持续发展指标</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保障检察工作顺利开展</w:t>
            </w:r>
          </w:p>
        </w:tc>
        <w:tc>
          <w:tcPr>
            <w:tcW w:w="4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好坏</w:t>
            </w:r>
          </w:p>
        </w:tc>
        <w:tc>
          <w:tcPr>
            <w:tcW w:w="6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好</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11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13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提升群众满意度</w:t>
            </w:r>
          </w:p>
        </w:tc>
        <w:tc>
          <w:tcPr>
            <w:tcW w:w="4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95</w:t>
            </w:r>
          </w:p>
        </w:tc>
        <w:tc>
          <w:tcPr>
            <w:tcW w:w="6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95</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286" w:hRule="atLeast"/>
        </w:trPr>
        <w:tc>
          <w:tcPr>
            <w:tcW w:w="7777"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合计</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Layout w:type="fixed"/>
          <w:tblCellMar>
            <w:top w:w="0" w:type="dxa"/>
            <w:left w:w="0" w:type="dxa"/>
            <w:bottom w:w="0" w:type="dxa"/>
            <w:right w:w="0" w:type="dxa"/>
          </w:tblCellMar>
        </w:tblPrEx>
        <w:trPr>
          <w:trHeight w:val="516" w:hRule="atLeast"/>
        </w:trPr>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评价结论</w:t>
            </w:r>
          </w:p>
        </w:tc>
        <w:tc>
          <w:tcPr>
            <w:tcW w:w="8723"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自评得分100分，较好完成绩效目标</w:t>
            </w:r>
          </w:p>
        </w:tc>
      </w:tr>
      <w:tr>
        <w:tblPrEx>
          <w:tblLayout w:type="fixed"/>
          <w:tblCellMar>
            <w:top w:w="0" w:type="dxa"/>
            <w:left w:w="0" w:type="dxa"/>
            <w:bottom w:w="0" w:type="dxa"/>
            <w:right w:w="0" w:type="dxa"/>
          </w:tblCellMar>
        </w:tblPrEx>
        <w:trPr>
          <w:trHeight w:val="410" w:hRule="atLeast"/>
        </w:trPr>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存在问题</w:t>
            </w:r>
          </w:p>
        </w:tc>
        <w:tc>
          <w:tcPr>
            <w:tcW w:w="8723"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无</w:t>
            </w:r>
          </w:p>
        </w:tc>
      </w:tr>
      <w:tr>
        <w:tblPrEx>
          <w:tblLayout w:type="fixed"/>
          <w:tblCellMar>
            <w:top w:w="0" w:type="dxa"/>
            <w:left w:w="0" w:type="dxa"/>
            <w:bottom w:w="0" w:type="dxa"/>
            <w:right w:w="0" w:type="dxa"/>
          </w:tblCellMar>
        </w:tblPrEx>
        <w:trPr>
          <w:trHeight w:val="353" w:hRule="atLeast"/>
        </w:trPr>
        <w:tc>
          <w:tcPr>
            <w:tcW w:w="11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改进措施</w:t>
            </w:r>
          </w:p>
        </w:tc>
        <w:tc>
          <w:tcPr>
            <w:tcW w:w="8723"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无</w:t>
            </w:r>
          </w:p>
        </w:tc>
      </w:tr>
      <w:tr>
        <w:tblPrEx>
          <w:tblLayout w:type="fixed"/>
          <w:tblCellMar>
            <w:top w:w="0" w:type="dxa"/>
            <w:left w:w="0" w:type="dxa"/>
            <w:bottom w:w="0" w:type="dxa"/>
            <w:right w:w="0" w:type="dxa"/>
          </w:tblCellMar>
        </w:tblPrEx>
        <w:trPr>
          <w:trHeight w:val="286" w:hRule="atLeast"/>
        </w:trPr>
        <w:tc>
          <w:tcPr>
            <w:tcW w:w="5573"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项目负责人：汪翠平</w:t>
            </w:r>
          </w:p>
        </w:tc>
        <w:tc>
          <w:tcPr>
            <w:tcW w:w="4327"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财务负责人：靳晗</w:t>
            </w:r>
          </w:p>
        </w:tc>
      </w:tr>
    </w:tbl>
    <w:p>
      <w:pPr>
        <w:widowControl/>
        <w:jc w:val="left"/>
        <w:rPr>
          <w:rStyle w:val="16"/>
          <w:rFonts w:hint="eastAsia" w:ascii="黑体" w:hAnsi="黑体" w:eastAsia="黑体"/>
          <w:b w:val="0"/>
          <w:lang w:eastAsia="zh-CN"/>
        </w:rPr>
      </w:pPr>
    </w:p>
    <w:tbl>
      <w:tblPr>
        <w:tblStyle w:val="12"/>
        <w:tblW w:w="9693" w:type="dxa"/>
        <w:tblInd w:w="-776" w:type="dxa"/>
        <w:shd w:val="clear" w:color="auto" w:fill="auto"/>
        <w:tblLayout w:type="fixed"/>
        <w:tblCellMar>
          <w:top w:w="0" w:type="dxa"/>
          <w:left w:w="0" w:type="dxa"/>
          <w:bottom w:w="0" w:type="dxa"/>
          <w:right w:w="0" w:type="dxa"/>
        </w:tblCellMar>
      </w:tblPr>
      <w:tblGrid>
        <w:gridCol w:w="1016"/>
        <w:gridCol w:w="1546"/>
        <w:gridCol w:w="1188"/>
        <w:gridCol w:w="1120"/>
        <w:gridCol w:w="565"/>
        <w:gridCol w:w="588"/>
        <w:gridCol w:w="589"/>
        <w:gridCol w:w="900"/>
        <w:gridCol w:w="565"/>
        <w:gridCol w:w="612"/>
        <w:gridCol w:w="1004"/>
      </w:tblGrid>
      <w:tr>
        <w:tblPrEx>
          <w:shd w:val="clear" w:color="auto" w:fill="auto"/>
          <w:tblLayout w:type="fixed"/>
          <w:tblCellMar>
            <w:top w:w="0" w:type="dxa"/>
            <w:left w:w="0" w:type="dxa"/>
            <w:bottom w:w="0" w:type="dxa"/>
            <w:right w:w="0" w:type="dxa"/>
          </w:tblCellMar>
        </w:tblPrEx>
        <w:trPr>
          <w:trHeight w:val="706" w:hRule="atLeast"/>
        </w:trPr>
        <w:tc>
          <w:tcPr>
            <w:tcW w:w="9693" w:type="dxa"/>
            <w:gridSpan w:val="11"/>
            <w:tcBorders>
              <w:top w:val="nil"/>
              <w:left w:val="nil"/>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spacing w:line="360" w:lineRule="auto"/>
              <w:jc w:val="center"/>
              <w:textAlignment w:val="center"/>
              <w:rPr>
                <w:rFonts w:hint="eastAsia" w:ascii="黑体" w:hAnsi="宋体" w:eastAsia="黑体" w:cs="黑体"/>
                <w:b/>
                <w:i w:val="0"/>
                <w:color w:val="000000"/>
                <w:kern w:val="0"/>
                <w:sz w:val="30"/>
                <w:szCs w:val="30"/>
                <w:u w:val="none"/>
                <w:lang w:val="en-US" w:eastAsia="zh-CN" w:bidi="ar"/>
              </w:rPr>
            </w:pPr>
          </w:p>
        </w:tc>
      </w:tr>
      <w:tr>
        <w:tblPrEx>
          <w:tblLayout w:type="fixed"/>
          <w:tblCellMar>
            <w:top w:w="0" w:type="dxa"/>
            <w:left w:w="0" w:type="dxa"/>
            <w:bottom w:w="0" w:type="dxa"/>
            <w:right w:w="0" w:type="dxa"/>
          </w:tblCellMar>
        </w:tblPrEx>
        <w:trPr>
          <w:trHeight w:val="904" w:hRule="atLeast"/>
        </w:trPr>
        <w:tc>
          <w:tcPr>
            <w:tcW w:w="9693" w:type="dxa"/>
            <w:gridSpan w:val="11"/>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360" w:lineRule="auto"/>
              <w:jc w:val="center"/>
              <w:textAlignment w:val="center"/>
              <w:rPr>
                <w:rFonts w:ascii="黑体" w:hAnsi="宋体" w:eastAsia="黑体" w:cs="黑体"/>
                <w:b/>
                <w:i w:val="0"/>
                <w:color w:val="000000"/>
                <w:sz w:val="30"/>
                <w:szCs w:val="30"/>
                <w:u w:val="none"/>
              </w:rPr>
            </w:pPr>
            <w:r>
              <w:rPr>
                <w:rFonts w:hint="eastAsia" w:ascii="黑体" w:hAnsi="宋体" w:eastAsia="黑体" w:cs="黑体"/>
                <w:b/>
                <w:i w:val="0"/>
                <w:color w:val="000000"/>
                <w:kern w:val="0"/>
                <w:sz w:val="30"/>
                <w:szCs w:val="30"/>
                <w:u w:val="none"/>
                <w:lang w:val="en-US" w:eastAsia="zh-CN" w:bidi="ar"/>
              </w:rPr>
              <w:t>部门预算项目支出绩效自评表（2022年度）</w:t>
            </w:r>
          </w:p>
        </w:tc>
      </w:tr>
      <w:tr>
        <w:tblPrEx>
          <w:tblLayout w:type="fixed"/>
          <w:tblCellMar>
            <w:top w:w="0" w:type="dxa"/>
            <w:left w:w="0" w:type="dxa"/>
            <w:bottom w:w="0" w:type="dxa"/>
            <w:right w:w="0" w:type="dxa"/>
          </w:tblCellMar>
        </w:tblPrEx>
        <w:trPr>
          <w:trHeight w:val="286" w:hRule="atLeast"/>
        </w:trPr>
        <w:tc>
          <w:tcPr>
            <w:tcW w:w="25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项目名称</w:t>
            </w:r>
          </w:p>
        </w:tc>
        <w:tc>
          <w:tcPr>
            <w:tcW w:w="7131"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51030022T000007369898-沿滩区检察院-司法救助项目</w:t>
            </w:r>
          </w:p>
        </w:tc>
      </w:tr>
      <w:tr>
        <w:tblPrEx>
          <w:tblLayout w:type="fixed"/>
          <w:tblCellMar>
            <w:top w:w="0" w:type="dxa"/>
            <w:left w:w="0" w:type="dxa"/>
            <w:bottom w:w="0" w:type="dxa"/>
            <w:right w:w="0" w:type="dxa"/>
          </w:tblCellMar>
        </w:tblPrEx>
        <w:trPr>
          <w:trHeight w:val="512" w:hRule="atLeast"/>
        </w:trPr>
        <w:tc>
          <w:tcPr>
            <w:tcW w:w="256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主管部门</w:t>
            </w:r>
          </w:p>
        </w:tc>
        <w:tc>
          <w:tcPr>
            <w:tcW w:w="405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自贡市沿滩区人民检察院部门</w:t>
            </w:r>
          </w:p>
        </w:tc>
        <w:tc>
          <w:tcPr>
            <w:tcW w:w="900" w:type="dxa"/>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实施单位 （盖章）</w:t>
            </w:r>
          </w:p>
        </w:tc>
        <w:tc>
          <w:tcPr>
            <w:tcW w:w="2181"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自贡市沿滩区人民检察院</w:t>
            </w:r>
          </w:p>
        </w:tc>
      </w:tr>
      <w:tr>
        <w:tblPrEx>
          <w:tblLayout w:type="fixed"/>
          <w:tblCellMar>
            <w:top w:w="0" w:type="dxa"/>
            <w:left w:w="0" w:type="dxa"/>
            <w:bottom w:w="0" w:type="dxa"/>
            <w:right w:w="0" w:type="dxa"/>
          </w:tblCellMar>
        </w:tblPrEx>
        <w:trPr>
          <w:trHeight w:val="286" w:hRule="atLeast"/>
        </w:trPr>
        <w:tc>
          <w:tcPr>
            <w:tcW w:w="101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项目基本情况</w:t>
            </w:r>
          </w:p>
        </w:tc>
        <w:tc>
          <w:tcPr>
            <w:tcW w:w="154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1.项目年度目标完成情况</w:t>
            </w:r>
          </w:p>
        </w:tc>
        <w:tc>
          <w:tcPr>
            <w:tcW w:w="405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项目年度目标</w:t>
            </w:r>
          </w:p>
        </w:tc>
        <w:tc>
          <w:tcPr>
            <w:tcW w:w="308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年度目标完成情况</w:t>
            </w:r>
          </w:p>
        </w:tc>
      </w:tr>
      <w:tr>
        <w:tblPrEx>
          <w:tblLayout w:type="fixed"/>
          <w:tblCellMar>
            <w:top w:w="0" w:type="dxa"/>
            <w:left w:w="0" w:type="dxa"/>
            <w:bottom w:w="0" w:type="dxa"/>
            <w:right w:w="0" w:type="dxa"/>
          </w:tblCellMar>
        </w:tblPrEx>
        <w:trPr>
          <w:trHeight w:val="708"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54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405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切实做好司法过程中对困难群众的救助工作，有效维护当事人合法权益，保障社会公平正义，促进社会和谐稳定。</w:t>
            </w:r>
          </w:p>
        </w:tc>
        <w:tc>
          <w:tcPr>
            <w:tcW w:w="308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共救助15人，对于符合条件人员，坚持应救助尽救助，提供司法温度。</w:t>
            </w:r>
          </w:p>
        </w:tc>
      </w:tr>
      <w:tr>
        <w:tblPrEx>
          <w:tblLayout w:type="fixed"/>
          <w:tblCellMar>
            <w:top w:w="0" w:type="dxa"/>
            <w:left w:w="0" w:type="dxa"/>
            <w:bottom w:w="0" w:type="dxa"/>
            <w:right w:w="0" w:type="dxa"/>
          </w:tblCellMar>
        </w:tblPrEx>
        <w:trPr>
          <w:trHeight w:val="693"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2.项目实施内容及过程概述</w:t>
            </w:r>
          </w:p>
        </w:tc>
        <w:tc>
          <w:tcPr>
            <w:tcW w:w="7131"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业务部门核定符合要求人员及救助金额，相关领导审核，财务根据审核后单据及时支付。</w:t>
            </w:r>
          </w:p>
        </w:tc>
      </w:tr>
      <w:tr>
        <w:tblPrEx>
          <w:tblLayout w:type="fixed"/>
          <w:tblCellMar>
            <w:top w:w="0" w:type="dxa"/>
            <w:left w:w="0" w:type="dxa"/>
            <w:bottom w:w="0" w:type="dxa"/>
            <w:right w:w="0" w:type="dxa"/>
          </w:tblCellMar>
        </w:tblPrEx>
        <w:trPr>
          <w:trHeight w:val="361" w:hRule="atLeast"/>
        </w:trPr>
        <w:tc>
          <w:tcPr>
            <w:tcW w:w="101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预算执行情况（10分）</w:t>
            </w: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年度预算数（万元）</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年初预算</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调整后预算数</w:t>
            </w:r>
          </w:p>
        </w:tc>
        <w:tc>
          <w:tcPr>
            <w:tcW w:w="174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预算执行数</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预算执行率</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权重</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得分</w:t>
            </w:r>
          </w:p>
        </w:tc>
        <w:tc>
          <w:tcPr>
            <w:tcW w:w="1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原因</w:t>
            </w:r>
          </w:p>
        </w:tc>
      </w:tr>
      <w:tr>
        <w:tblPrEx>
          <w:tblLayout w:type="fixed"/>
          <w:tblCellMar>
            <w:top w:w="0" w:type="dxa"/>
            <w:left w:w="0" w:type="dxa"/>
            <w:bottom w:w="0" w:type="dxa"/>
            <w:right w:w="0" w:type="dxa"/>
          </w:tblCellMar>
        </w:tblPrEx>
        <w:trPr>
          <w:trHeight w:val="387"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总额</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6.00</w:t>
            </w:r>
          </w:p>
        </w:tc>
        <w:tc>
          <w:tcPr>
            <w:tcW w:w="174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color w:val="000000"/>
                <w:sz w:val="18"/>
                <w:szCs w:val="18"/>
                <w:u w:val="none"/>
              </w:rPr>
            </w:pPr>
            <w:r>
              <w:rPr>
                <w:rFonts w:hint="eastAsia" w:ascii="黑体" w:hAnsi="黑体" w:eastAsia="黑体" w:cs="黑体"/>
                <w:i/>
                <w:color w:val="000000"/>
                <w:kern w:val="0"/>
                <w:sz w:val="18"/>
                <w:szCs w:val="18"/>
                <w:u w:val="none"/>
                <w:lang w:val="en-US" w:eastAsia="zh-CN" w:bidi="ar"/>
              </w:rPr>
              <w:t>年初预算编制之后增加的项目</w:t>
            </w:r>
          </w:p>
        </w:tc>
      </w:tr>
      <w:tr>
        <w:tblPrEx>
          <w:tblLayout w:type="fixed"/>
          <w:tblCellMar>
            <w:top w:w="0" w:type="dxa"/>
            <w:left w:w="0" w:type="dxa"/>
            <w:bottom w:w="0" w:type="dxa"/>
            <w:right w:w="0" w:type="dxa"/>
          </w:tblCellMar>
        </w:tblPrEx>
        <w:trPr>
          <w:trHeight w:val="432"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其中：财政资金</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6.00</w:t>
            </w:r>
          </w:p>
        </w:tc>
        <w:tc>
          <w:tcPr>
            <w:tcW w:w="174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6.00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100.00%</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47"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财政专户管理资金</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74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361"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单位资金</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174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0.00%</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379"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其他资金</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174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黑体" w:hAnsi="黑体" w:eastAsia="黑体" w:cs="黑体"/>
                <w:i/>
                <w:color w:val="000000"/>
                <w:sz w:val="18"/>
                <w:szCs w:val="18"/>
                <w:u w:val="none"/>
              </w:rPr>
            </w:pPr>
          </w:p>
        </w:tc>
      </w:tr>
      <w:tr>
        <w:tblPrEx>
          <w:tblLayout w:type="fixed"/>
          <w:tblCellMar>
            <w:top w:w="0" w:type="dxa"/>
            <w:left w:w="0" w:type="dxa"/>
            <w:bottom w:w="0" w:type="dxa"/>
            <w:right w:w="0" w:type="dxa"/>
          </w:tblCellMar>
        </w:tblPrEx>
        <w:trPr>
          <w:trHeight w:val="452" w:hRule="atLeast"/>
        </w:trPr>
        <w:tc>
          <w:tcPr>
            <w:tcW w:w="101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绩效指标（90分）</w:t>
            </w: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一级指标</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二级指标</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三级指标</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指标性质</w:t>
            </w:r>
          </w:p>
        </w:tc>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指标值</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度量单位</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完成值</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权重</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得分</w:t>
            </w:r>
          </w:p>
        </w:tc>
        <w:tc>
          <w:tcPr>
            <w:tcW w:w="1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未完成原因分析</w:t>
            </w:r>
          </w:p>
        </w:tc>
      </w:tr>
      <w:tr>
        <w:tblPrEx>
          <w:tblLayout w:type="fixed"/>
          <w:tblCellMar>
            <w:top w:w="0" w:type="dxa"/>
            <w:left w:w="0" w:type="dxa"/>
            <w:bottom w:w="0" w:type="dxa"/>
            <w:right w:w="0" w:type="dxa"/>
          </w:tblCellMar>
        </w:tblPrEx>
        <w:trPr>
          <w:trHeight w:val="339"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产出指标</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数量指标</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救助人数</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人</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15</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452"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时效指标</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完成司法救助资金发放时限</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12</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月</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12</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452"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效益指标</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可持续发展指标</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持续保障司法救助当事人合法权益</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定性</w:t>
            </w:r>
          </w:p>
        </w:tc>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优良中低差</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优</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452"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满意度指标</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帮扶对象满意度指标</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提高救助当事人满意度</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95</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95</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w:t>
            </w:r>
          </w:p>
        </w:tc>
        <w:tc>
          <w:tcPr>
            <w:tcW w:w="1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339" w:hRule="atLeast"/>
        </w:trPr>
        <w:tc>
          <w:tcPr>
            <w:tcW w:w="10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54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成本指标</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经济成本指标</w:t>
            </w:r>
          </w:p>
        </w:tc>
        <w:tc>
          <w:tcPr>
            <w:tcW w:w="11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全年司法救助金发放</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w:t>
            </w:r>
          </w:p>
        </w:tc>
        <w:tc>
          <w:tcPr>
            <w:tcW w:w="5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6</w:t>
            </w:r>
          </w:p>
        </w:tc>
        <w:tc>
          <w:tcPr>
            <w:tcW w:w="5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万元</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6</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20</w:t>
            </w:r>
          </w:p>
        </w:tc>
        <w:tc>
          <w:tcPr>
            <w:tcW w:w="1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微软雅黑" w:hAnsi="微软雅黑" w:eastAsia="微软雅黑" w:cs="微软雅黑"/>
                <w:i/>
                <w:color w:val="000000"/>
                <w:sz w:val="16"/>
                <w:szCs w:val="16"/>
                <w:u w:val="none"/>
              </w:rPr>
            </w:pPr>
          </w:p>
        </w:tc>
      </w:tr>
      <w:tr>
        <w:tblPrEx>
          <w:tblLayout w:type="fixed"/>
          <w:tblCellMar>
            <w:top w:w="0" w:type="dxa"/>
            <w:left w:w="0" w:type="dxa"/>
            <w:bottom w:w="0" w:type="dxa"/>
            <w:right w:w="0" w:type="dxa"/>
          </w:tblCellMar>
        </w:tblPrEx>
        <w:trPr>
          <w:trHeight w:val="286" w:hRule="atLeast"/>
        </w:trPr>
        <w:tc>
          <w:tcPr>
            <w:tcW w:w="7512"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合计</w:t>
            </w:r>
          </w:p>
        </w:tc>
        <w:tc>
          <w:tcPr>
            <w:tcW w:w="5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right"/>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100</w:t>
            </w:r>
          </w:p>
        </w:tc>
        <w:tc>
          <w:tcPr>
            <w:tcW w:w="10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18"/>
                <w:szCs w:val="18"/>
                <w:u w:val="none"/>
              </w:rPr>
            </w:pPr>
          </w:p>
        </w:tc>
      </w:tr>
      <w:tr>
        <w:tblPrEx>
          <w:tblLayout w:type="fixed"/>
          <w:tblCellMar>
            <w:top w:w="0" w:type="dxa"/>
            <w:left w:w="0" w:type="dxa"/>
            <w:bottom w:w="0" w:type="dxa"/>
            <w:right w:w="0" w:type="dxa"/>
          </w:tblCellMar>
        </w:tblPrEx>
        <w:trPr>
          <w:trHeight w:val="400"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评价结论</w:t>
            </w:r>
          </w:p>
        </w:tc>
        <w:tc>
          <w:tcPr>
            <w:tcW w:w="8677"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自评得分100分，较好完成绩效目标</w:t>
            </w:r>
          </w:p>
        </w:tc>
      </w:tr>
      <w:tr>
        <w:tblPrEx>
          <w:tblLayout w:type="fixed"/>
          <w:tblCellMar>
            <w:top w:w="0" w:type="dxa"/>
            <w:left w:w="0" w:type="dxa"/>
            <w:bottom w:w="0" w:type="dxa"/>
            <w:right w:w="0" w:type="dxa"/>
          </w:tblCellMar>
        </w:tblPrEx>
        <w:trPr>
          <w:trHeight w:val="323"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存在问题</w:t>
            </w:r>
          </w:p>
        </w:tc>
        <w:tc>
          <w:tcPr>
            <w:tcW w:w="8677"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无</w:t>
            </w:r>
          </w:p>
        </w:tc>
      </w:tr>
      <w:tr>
        <w:tblPrEx>
          <w:tblLayout w:type="fixed"/>
          <w:tblCellMar>
            <w:top w:w="0" w:type="dxa"/>
            <w:left w:w="0" w:type="dxa"/>
            <w:bottom w:w="0" w:type="dxa"/>
            <w:right w:w="0" w:type="dxa"/>
          </w:tblCellMar>
        </w:tblPrEx>
        <w:trPr>
          <w:trHeight w:val="373"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宋体" w:hAnsi="宋体" w:eastAsia="宋体" w:cs="宋体"/>
                <w:i w:val="0"/>
                <w:color w:val="000000"/>
                <w:sz w:val="18"/>
                <w:szCs w:val="18"/>
                <w:u w:val="none"/>
              </w:rPr>
            </w:pPr>
            <w:r>
              <w:rPr>
                <w:rFonts w:ascii="宋体" w:hAnsi="宋体" w:eastAsia="宋体" w:cs="宋体"/>
                <w:i w:val="0"/>
                <w:color w:val="000000"/>
                <w:kern w:val="0"/>
                <w:sz w:val="18"/>
                <w:szCs w:val="18"/>
                <w:u w:val="none"/>
                <w:lang w:val="en-US" w:eastAsia="zh-CN" w:bidi="ar"/>
              </w:rPr>
              <w:t>改进措施</w:t>
            </w:r>
          </w:p>
        </w:tc>
        <w:tc>
          <w:tcPr>
            <w:tcW w:w="8677"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微软雅黑" w:hAnsi="微软雅黑" w:eastAsia="微软雅黑" w:cs="微软雅黑"/>
                <w:i/>
                <w:color w:val="000000"/>
                <w:sz w:val="16"/>
                <w:szCs w:val="16"/>
                <w:u w:val="none"/>
              </w:rPr>
            </w:pPr>
            <w:r>
              <w:rPr>
                <w:rFonts w:hint="eastAsia" w:ascii="微软雅黑" w:hAnsi="微软雅黑" w:eastAsia="微软雅黑" w:cs="微软雅黑"/>
                <w:i/>
                <w:color w:val="000000"/>
                <w:kern w:val="0"/>
                <w:sz w:val="16"/>
                <w:szCs w:val="16"/>
                <w:u w:val="none"/>
                <w:lang w:val="en-US" w:eastAsia="zh-CN" w:bidi="ar"/>
              </w:rPr>
              <w:t>无</w:t>
            </w:r>
          </w:p>
        </w:tc>
      </w:tr>
      <w:tr>
        <w:tblPrEx>
          <w:tblLayout w:type="fixed"/>
          <w:tblCellMar>
            <w:top w:w="0" w:type="dxa"/>
            <w:left w:w="0" w:type="dxa"/>
            <w:bottom w:w="0" w:type="dxa"/>
            <w:right w:w="0" w:type="dxa"/>
          </w:tblCellMar>
        </w:tblPrEx>
        <w:trPr>
          <w:trHeight w:val="415" w:hRule="atLeast"/>
        </w:trPr>
        <w:tc>
          <w:tcPr>
            <w:tcW w:w="543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项目负责人：牟位煜</w:t>
            </w:r>
          </w:p>
        </w:tc>
        <w:tc>
          <w:tcPr>
            <w:tcW w:w="4258"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黑体" w:hAnsi="黑体" w:eastAsia="黑体" w:cs="黑体"/>
                <w:i w:val="0"/>
                <w:color w:val="000000"/>
                <w:sz w:val="18"/>
                <w:szCs w:val="18"/>
                <w:u w:val="none"/>
              </w:rPr>
            </w:pPr>
            <w:r>
              <w:rPr>
                <w:rFonts w:hint="eastAsia" w:ascii="黑体" w:hAnsi="黑体" w:eastAsia="黑体" w:cs="黑体"/>
                <w:i w:val="0"/>
                <w:color w:val="000000"/>
                <w:kern w:val="0"/>
                <w:sz w:val="18"/>
                <w:szCs w:val="18"/>
                <w:u w:val="none"/>
                <w:lang w:val="en-US" w:eastAsia="zh-CN" w:bidi="ar"/>
              </w:rPr>
              <w:t>财务负责人：靳晗</w:t>
            </w:r>
          </w:p>
        </w:tc>
      </w:tr>
    </w:tbl>
    <w:p>
      <w:pPr>
        <w:pStyle w:val="2"/>
        <w:rPr>
          <w:rStyle w:val="16"/>
          <w:rFonts w:hint="eastAsia" w:ascii="黑体" w:hAnsi="黑体" w:eastAsia="黑体"/>
          <w:b w:val="0"/>
          <w:lang w:eastAsia="zh-CN"/>
        </w:rPr>
      </w:pPr>
    </w:p>
    <w:p>
      <w:pPr>
        <w:spacing w:line="600" w:lineRule="exact"/>
        <w:jc w:val="center"/>
        <w:outlineLvl w:val="0"/>
        <w:rPr>
          <w:rFonts w:ascii="仿宋" w:hAnsi="仿宋" w:eastAsia="仿宋"/>
          <w:b/>
          <w:color w:val="000000"/>
          <w:sz w:val="44"/>
          <w:szCs w:val="44"/>
        </w:rPr>
      </w:pPr>
      <w:bookmarkStart w:id="57" w:name="_Toc1167854861"/>
      <w:bookmarkStart w:id="58" w:name="_Toc15396618"/>
      <w:r>
        <w:rPr>
          <w:rFonts w:hint="eastAsia" w:ascii="黑体" w:hAnsi="黑体" w:eastAsia="黑体"/>
          <w:color w:val="000000"/>
          <w:sz w:val="44"/>
          <w:szCs w:val="44"/>
        </w:rPr>
        <w:t>第</w:t>
      </w:r>
      <w:r>
        <w:rPr>
          <w:rStyle w:val="16"/>
          <w:rFonts w:hint="eastAsia" w:ascii="黑体" w:hAnsi="黑体" w:eastAsia="黑体"/>
          <w:b w:val="0"/>
        </w:rPr>
        <w:t>五部分</w:t>
      </w:r>
      <w:r>
        <w:rPr>
          <w:rStyle w:val="16"/>
          <w:rFonts w:ascii="黑体" w:hAnsi="黑体" w:eastAsia="黑体"/>
          <w:b w:val="0"/>
        </w:rPr>
        <w:t xml:space="preserve"> </w:t>
      </w:r>
      <w:r>
        <w:rPr>
          <w:rStyle w:val="16"/>
          <w:rFonts w:hint="eastAsia" w:ascii="黑体" w:hAnsi="黑体" w:eastAsia="黑体"/>
          <w:b w:val="0"/>
        </w:rPr>
        <w:t>附表</w:t>
      </w:r>
      <w:bookmarkEnd w:id="54"/>
      <w:bookmarkEnd w:id="57"/>
      <w:bookmarkEnd w:id="58"/>
    </w:p>
    <w:p>
      <w:pPr>
        <w:pStyle w:val="4"/>
        <w:rPr>
          <w:rFonts w:hint="eastAsia" w:ascii="仿宋_GB2312" w:hAnsi="仿宋_GB2312" w:eastAsia="仿宋_GB2312" w:cs="仿宋_GB2312"/>
          <w:color w:val="auto"/>
          <w:highlight w:val="none"/>
        </w:rPr>
      </w:pPr>
      <w:bookmarkStart w:id="59" w:name="_Toc321303262"/>
      <w:r>
        <w:rPr>
          <w:rFonts w:hint="eastAsia" w:ascii="仿宋_GB2312" w:hAnsi="仿宋_GB2312" w:eastAsia="仿宋_GB2312" w:cs="仿宋_GB2312"/>
          <w:b w:val="0"/>
          <w:color w:val="auto"/>
          <w:highlight w:val="none"/>
        </w:rPr>
        <w:t>一、收</w:t>
      </w:r>
      <w:r>
        <w:rPr>
          <w:rStyle w:val="20"/>
          <w:rFonts w:hint="eastAsia" w:ascii="仿宋_GB2312" w:hAnsi="仿宋_GB2312" w:eastAsia="仿宋_GB2312" w:cs="仿宋_GB2312"/>
          <w:b w:val="0"/>
          <w:bCs w:val="0"/>
          <w:color w:val="auto"/>
          <w:highlight w:val="none"/>
        </w:rPr>
        <w:t>入支出决算总表</w:t>
      </w:r>
      <w:bookmarkEnd w:id="59"/>
    </w:p>
    <w:p>
      <w:pPr>
        <w:pStyle w:val="4"/>
        <w:rPr>
          <w:rFonts w:hint="eastAsia" w:ascii="仿宋_GB2312" w:hAnsi="仿宋_GB2312" w:eastAsia="仿宋_GB2312" w:cs="仿宋_GB2312"/>
          <w:color w:val="auto"/>
          <w:highlight w:val="none"/>
        </w:rPr>
      </w:pPr>
      <w:bookmarkStart w:id="60" w:name="_Toc528329500"/>
      <w:bookmarkStart w:id="61" w:name="_Toc15396620"/>
      <w:r>
        <w:rPr>
          <w:rFonts w:hint="eastAsia" w:ascii="仿宋_GB2312" w:hAnsi="仿宋_GB2312" w:eastAsia="仿宋_GB2312" w:cs="仿宋_GB2312"/>
          <w:b w:val="0"/>
          <w:color w:val="auto"/>
          <w:highlight w:val="none"/>
        </w:rPr>
        <w:t>二、收</w:t>
      </w:r>
      <w:r>
        <w:rPr>
          <w:rStyle w:val="20"/>
          <w:rFonts w:hint="eastAsia" w:ascii="仿宋_GB2312" w:hAnsi="仿宋_GB2312" w:eastAsia="仿宋_GB2312" w:cs="仿宋_GB2312"/>
          <w:b w:val="0"/>
          <w:bCs w:val="0"/>
          <w:color w:val="auto"/>
          <w:highlight w:val="none"/>
        </w:rPr>
        <w:t>入决算表</w:t>
      </w:r>
      <w:bookmarkEnd w:id="60"/>
      <w:bookmarkEnd w:id="61"/>
    </w:p>
    <w:p>
      <w:pPr>
        <w:pStyle w:val="4"/>
        <w:rPr>
          <w:rFonts w:hint="eastAsia" w:ascii="仿宋_GB2312" w:hAnsi="仿宋_GB2312" w:eastAsia="仿宋_GB2312" w:cs="仿宋_GB2312"/>
          <w:color w:val="auto"/>
          <w:highlight w:val="none"/>
        </w:rPr>
      </w:pPr>
      <w:bookmarkStart w:id="62" w:name="_Toc15396621"/>
      <w:bookmarkStart w:id="63" w:name="_Toc2010166574"/>
      <w:r>
        <w:rPr>
          <w:rStyle w:val="20"/>
          <w:rFonts w:hint="eastAsia" w:ascii="仿宋_GB2312" w:hAnsi="仿宋_GB2312" w:eastAsia="仿宋_GB2312" w:cs="仿宋_GB2312"/>
          <w:b w:val="0"/>
          <w:bCs w:val="0"/>
          <w:color w:val="auto"/>
          <w:highlight w:val="none"/>
        </w:rPr>
        <w:t>三、</w:t>
      </w:r>
      <w:r>
        <w:rPr>
          <w:rFonts w:hint="eastAsia" w:ascii="仿宋_GB2312" w:hAnsi="仿宋_GB2312" w:eastAsia="仿宋_GB2312" w:cs="仿宋_GB2312"/>
          <w:b w:val="0"/>
          <w:color w:val="auto"/>
          <w:highlight w:val="none"/>
        </w:rPr>
        <w:t>支</w:t>
      </w:r>
      <w:r>
        <w:rPr>
          <w:rStyle w:val="20"/>
          <w:rFonts w:hint="eastAsia" w:ascii="仿宋_GB2312" w:hAnsi="仿宋_GB2312" w:eastAsia="仿宋_GB2312" w:cs="仿宋_GB2312"/>
          <w:b w:val="0"/>
          <w:bCs w:val="0"/>
          <w:color w:val="auto"/>
          <w:highlight w:val="none"/>
        </w:rPr>
        <w:t>出决算表</w:t>
      </w:r>
      <w:bookmarkEnd w:id="62"/>
      <w:bookmarkEnd w:id="63"/>
    </w:p>
    <w:p>
      <w:pPr>
        <w:pStyle w:val="4"/>
        <w:rPr>
          <w:rFonts w:hint="eastAsia" w:ascii="仿宋_GB2312" w:hAnsi="仿宋_GB2312" w:eastAsia="仿宋_GB2312" w:cs="仿宋_GB2312"/>
          <w:b w:val="0"/>
          <w:color w:val="auto"/>
          <w:highlight w:val="none"/>
        </w:rPr>
      </w:pPr>
      <w:bookmarkStart w:id="64" w:name="_Toc159148590"/>
      <w:bookmarkStart w:id="65" w:name="_Toc15396622"/>
      <w:r>
        <w:rPr>
          <w:rStyle w:val="20"/>
          <w:rFonts w:hint="eastAsia" w:ascii="仿宋_GB2312" w:hAnsi="仿宋_GB2312" w:eastAsia="仿宋_GB2312" w:cs="仿宋_GB2312"/>
          <w:b w:val="0"/>
          <w:bCs w:val="0"/>
          <w:color w:val="auto"/>
          <w:highlight w:val="none"/>
        </w:rPr>
        <w:t>四、</w:t>
      </w:r>
      <w:r>
        <w:rPr>
          <w:rFonts w:hint="eastAsia" w:ascii="仿宋_GB2312" w:hAnsi="仿宋_GB2312" w:eastAsia="仿宋_GB2312" w:cs="仿宋_GB2312"/>
          <w:b w:val="0"/>
          <w:color w:val="auto"/>
          <w:highlight w:val="none"/>
        </w:rPr>
        <w:t>财</w:t>
      </w:r>
      <w:r>
        <w:rPr>
          <w:rStyle w:val="20"/>
          <w:rFonts w:hint="eastAsia" w:ascii="仿宋_GB2312" w:hAnsi="仿宋_GB2312" w:eastAsia="仿宋_GB2312" w:cs="仿宋_GB2312"/>
          <w:b w:val="0"/>
          <w:bCs w:val="0"/>
          <w:color w:val="auto"/>
          <w:highlight w:val="none"/>
        </w:rPr>
        <w:t>政拨款收入支出决算总表</w:t>
      </w:r>
      <w:bookmarkEnd w:id="64"/>
      <w:bookmarkEnd w:id="65"/>
    </w:p>
    <w:p>
      <w:pPr>
        <w:pStyle w:val="4"/>
        <w:rPr>
          <w:rStyle w:val="20"/>
          <w:rFonts w:hint="eastAsia" w:ascii="仿宋_GB2312" w:hAnsi="仿宋_GB2312" w:eastAsia="仿宋_GB2312" w:cs="仿宋_GB2312"/>
          <w:b w:val="0"/>
          <w:bCs w:val="0"/>
          <w:color w:val="auto"/>
          <w:highlight w:val="none"/>
        </w:rPr>
      </w:pPr>
      <w:bookmarkStart w:id="66" w:name="_Toc15396623"/>
      <w:bookmarkStart w:id="67" w:name="_Toc1124407885"/>
      <w:r>
        <w:rPr>
          <w:rStyle w:val="20"/>
          <w:rFonts w:hint="eastAsia" w:ascii="仿宋_GB2312" w:hAnsi="仿宋_GB2312" w:eastAsia="仿宋_GB2312" w:cs="仿宋_GB2312"/>
          <w:b w:val="0"/>
          <w:bCs w:val="0"/>
          <w:color w:val="auto"/>
          <w:highlight w:val="none"/>
        </w:rPr>
        <w:t>五、</w:t>
      </w:r>
      <w:r>
        <w:rPr>
          <w:rFonts w:hint="eastAsia" w:ascii="仿宋_GB2312" w:hAnsi="仿宋_GB2312" w:eastAsia="仿宋_GB2312" w:cs="仿宋_GB2312"/>
          <w:b w:val="0"/>
          <w:color w:val="auto"/>
          <w:highlight w:val="none"/>
        </w:rPr>
        <w:t>财</w:t>
      </w:r>
      <w:r>
        <w:rPr>
          <w:rStyle w:val="20"/>
          <w:rFonts w:hint="eastAsia" w:ascii="仿宋_GB2312" w:hAnsi="仿宋_GB2312" w:eastAsia="仿宋_GB2312" w:cs="仿宋_GB2312"/>
          <w:b w:val="0"/>
          <w:bCs w:val="0"/>
          <w:color w:val="auto"/>
          <w:highlight w:val="none"/>
        </w:rPr>
        <w:t>政拨款支出决算明细表</w:t>
      </w:r>
      <w:bookmarkEnd w:id="66"/>
      <w:bookmarkEnd w:id="67"/>
      <w:bookmarkStart w:id="68" w:name="_Toc15396624"/>
    </w:p>
    <w:p>
      <w:pPr>
        <w:pStyle w:val="4"/>
        <w:rPr>
          <w:rFonts w:hint="eastAsia" w:ascii="仿宋_GB2312" w:hAnsi="仿宋_GB2312" w:eastAsia="仿宋_GB2312" w:cs="仿宋_GB2312"/>
          <w:color w:val="auto"/>
          <w:highlight w:val="none"/>
        </w:rPr>
      </w:pPr>
      <w:bookmarkStart w:id="69" w:name="_Toc457536483"/>
      <w:r>
        <w:rPr>
          <w:rStyle w:val="20"/>
          <w:rFonts w:hint="eastAsia" w:ascii="仿宋_GB2312" w:hAnsi="仿宋_GB2312" w:eastAsia="仿宋_GB2312" w:cs="仿宋_GB2312"/>
          <w:b w:val="0"/>
          <w:bCs w:val="0"/>
          <w:color w:val="auto"/>
          <w:highlight w:val="none"/>
        </w:rPr>
        <w:t>六、</w:t>
      </w:r>
      <w:r>
        <w:rPr>
          <w:rFonts w:hint="eastAsia" w:ascii="仿宋_GB2312" w:hAnsi="仿宋_GB2312" w:eastAsia="仿宋_GB2312" w:cs="仿宋_GB2312"/>
          <w:b w:val="0"/>
          <w:color w:val="auto"/>
          <w:highlight w:val="none"/>
        </w:rPr>
        <w:t>一</w:t>
      </w:r>
      <w:r>
        <w:rPr>
          <w:rStyle w:val="20"/>
          <w:rFonts w:hint="eastAsia" w:ascii="仿宋_GB2312" w:hAnsi="仿宋_GB2312" w:eastAsia="仿宋_GB2312" w:cs="仿宋_GB2312"/>
          <w:b w:val="0"/>
          <w:bCs w:val="0"/>
          <w:color w:val="auto"/>
          <w:highlight w:val="none"/>
        </w:rPr>
        <w:t>般公共预算财政拨款支出决算表</w:t>
      </w:r>
      <w:bookmarkEnd w:id="68"/>
      <w:bookmarkEnd w:id="69"/>
    </w:p>
    <w:p>
      <w:pPr>
        <w:pStyle w:val="4"/>
        <w:rPr>
          <w:rFonts w:hint="eastAsia" w:ascii="仿宋_GB2312" w:hAnsi="仿宋_GB2312" w:eastAsia="仿宋_GB2312" w:cs="仿宋_GB2312"/>
          <w:color w:val="auto"/>
          <w:highlight w:val="none"/>
        </w:rPr>
      </w:pPr>
      <w:bookmarkStart w:id="70" w:name="_Toc15396625"/>
      <w:bookmarkStart w:id="71" w:name="_Toc1137078736"/>
      <w:r>
        <w:rPr>
          <w:rStyle w:val="20"/>
          <w:rFonts w:hint="eastAsia" w:ascii="仿宋_GB2312" w:hAnsi="仿宋_GB2312" w:eastAsia="仿宋_GB2312" w:cs="仿宋_GB2312"/>
          <w:b w:val="0"/>
          <w:bCs w:val="0"/>
          <w:color w:val="auto"/>
          <w:highlight w:val="none"/>
        </w:rPr>
        <w:t>七、</w:t>
      </w:r>
      <w:r>
        <w:rPr>
          <w:rFonts w:hint="eastAsia" w:ascii="仿宋_GB2312" w:hAnsi="仿宋_GB2312" w:eastAsia="仿宋_GB2312" w:cs="仿宋_GB2312"/>
          <w:b w:val="0"/>
          <w:color w:val="auto"/>
          <w:highlight w:val="none"/>
        </w:rPr>
        <w:t>一</w:t>
      </w:r>
      <w:r>
        <w:rPr>
          <w:rStyle w:val="20"/>
          <w:rFonts w:hint="eastAsia" w:ascii="仿宋_GB2312" w:hAnsi="仿宋_GB2312" w:eastAsia="仿宋_GB2312" w:cs="仿宋_GB2312"/>
          <w:b w:val="0"/>
          <w:bCs w:val="0"/>
          <w:color w:val="auto"/>
          <w:highlight w:val="none"/>
        </w:rPr>
        <w:t>般公共预算财政拨款支出决算明细表</w:t>
      </w:r>
      <w:bookmarkEnd w:id="70"/>
      <w:bookmarkEnd w:id="71"/>
    </w:p>
    <w:p>
      <w:pPr>
        <w:pStyle w:val="4"/>
        <w:rPr>
          <w:rFonts w:hint="eastAsia" w:ascii="仿宋_GB2312" w:hAnsi="仿宋_GB2312" w:eastAsia="仿宋_GB2312" w:cs="仿宋_GB2312"/>
          <w:color w:val="auto"/>
          <w:highlight w:val="none"/>
        </w:rPr>
      </w:pPr>
      <w:bookmarkStart w:id="72" w:name="_Toc1108667638"/>
      <w:bookmarkStart w:id="73" w:name="_Toc15396626"/>
      <w:r>
        <w:rPr>
          <w:rStyle w:val="20"/>
          <w:rFonts w:hint="eastAsia" w:ascii="仿宋_GB2312" w:hAnsi="仿宋_GB2312" w:eastAsia="仿宋_GB2312" w:cs="仿宋_GB2312"/>
          <w:b w:val="0"/>
          <w:bCs w:val="0"/>
          <w:color w:val="auto"/>
          <w:highlight w:val="none"/>
        </w:rPr>
        <w:t>八、</w:t>
      </w:r>
      <w:r>
        <w:rPr>
          <w:rFonts w:hint="eastAsia" w:ascii="仿宋_GB2312" w:hAnsi="仿宋_GB2312" w:eastAsia="仿宋_GB2312" w:cs="仿宋_GB2312"/>
          <w:b w:val="0"/>
          <w:color w:val="auto"/>
          <w:highlight w:val="none"/>
        </w:rPr>
        <w:t>一</w:t>
      </w:r>
      <w:r>
        <w:rPr>
          <w:rStyle w:val="20"/>
          <w:rFonts w:hint="eastAsia" w:ascii="仿宋_GB2312" w:hAnsi="仿宋_GB2312" w:eastAsia="仿宋_GB2312" w:cs="仿宋_GB2312"/>
          <w:b w:val="0"/>
          <w:bCs w:val="0"/>
          <w:color w:val="auto"/>
          <w:highlight w:val="none"/>
        </w:rPr>
        <w:t>般公共预算财政拨款基本支出决算表</w:t>
      </w:r>
      <w:bookmarkEnd w:id="72"/>
      <w:bookmarkEnd w:id="73"/>
    </w:p>
    <w:p>
      <w:pPr>
        <w:pStyle w:val="4"/>
        <w:rPr>
          <w:rFonts w:hint="eastAsia" w:ascii="仿宋_GB2312" w:hAnsi="仿宋_GB2312" w:eastAsia="仿宋_GB2312" w:cs="仿宋_GB2312"/>
          <w:color w:val="auto"/>
          <w:highlight w:val="none"/>
        </w:rPr>
      </w:pPr>
      <w:bookmarkStart w:id="74" w:name="_Toc15396627"/>
      <w:bookmarkStart w:id="75" w:name="_Toc940495635"/>
      <w:r>
        <w:rPr>
          <w:rStyle w:val="20"/>
          <w:rFonts w:hint="eastAsia" w:ascii="仿宋_GB2312" w:hAnsi="仿宋_GB2312" w:eastAsia="仿宋_GB2312" w:cs="仿宋_GB2312"/>
          <w:b w:val="0"/>
          <w:bCs w:val="0"/>
          <w:color w:val="auto"/>
          <w:highlight w:val="none"/>
        </w:rPr>
        <w:t>九、</w:t>
      </w:r>
      <w:r>
        <w:rPr>
          <w:rFonts w:hint="eastAsia" w:ascii="仿宋_GB2312" w:hAnsi="仿宋_GB2312" w:eastAsia="仿宋_GB2312" w:cs="仿宋_GB2312"/>
          <w:b w:val="0"/>
          <w:color w:val="auto"/>
          <w:highlight w:val="none"/>
        </w:rPr>
        <w:t>一</w:t>
      </w:r>
      <w:r>
        <w:rPr>
          <w:rStyle w:val="20"/>
          <w:rFonts w:hint="eastAsia" w:ascii="仿宋_GB2312" w:hAnsi="仿宋_GB2312" w:eastAsia="仿宋_GB2312" w:cs="仿宋_GB2312"/>
          <w:b w:val="0"/>
          <w:bCs w:val="0"/>
          <w:color w:val="auto"/>
          <w:highlight w:val="none"/>
        </w:rPr>
        <w:t>般公共预算财政拨款项目支出决算表</w:t>
      </w:r>
      <w:bookmarkEnd w:id="74"/>
      <w:bookmarkEnd w:id="75"/>
    </w:p>
    <w:p>
      <w:pPr>
        <w:pStyle w:val="4"/>
        <w:rPr>
          <w:rFonts w:hint="eastAsia" w:ascii="仿宋_GB2312" w:hAnsi="仿宋_GB2312" w:eastAsia="仿宋_GB2312" w:cs="仿宋_GB2312"/>
          <w:color w:val="auto"/>
          <w:highlight w:val="none"/>
        </w:rPr>
      </w:pPr>
      <w:bookmarkStart w:id="76" w:name="_Toc1750613312"/>
      <w:bookmarkStart w:id="77" w:name="_Toc15396628"/>
      <w:r>
        <w:rPr>
          <w:rStyle w:val="20"/>
          <w:rFonts w:hint="eastAsia" w:ascii="仿宋_GB2312" w:hAnsi="仿宋_GB2312" w:eastAsia="仿宋_GB2312" w:cs="仿宋_GB2312"/>
          <w:b w:val="0"/>
          <w:bCs w:val="0"/>
          <w:color w:val="auto"/>
          <w:highlight w:val="none"/>
        </w:rPr>
        <w:t>十、</w:t>
      </w:r>
      <w:bookmarkEnd w:id="76"/>
      <w:bookmarkEnd w:id="77"/>
      <w:bookmarkStart w:id="78" w:name="_Toc15396629"/>
      <w:bookmarkStart w:id="79" w:name="_Toc107843221"/>
      <w:r>
        <w:rPr>
          <w:rFonts w:hint="eastAsia" w:ascii="仿宋_GB2312" w:hAnsi="仿宋_GB2312" w:eastAsia="仿宋_GB2312" w:cs="仿宋_GB2312"/>
          <w:b w:val="0"/>
          <w:color w:val="auto"/>
          <w:highlight w:val="none"/>
        </w:rPr>
        <w:t>政</w:t>
      </w:r>
      <w:r>
        <w:rPr>
          <w:rStyle w:val="20"/>
          <w:rFonts w:hint="eastAsia" w:ascii="仿宋_GB2312" w:hAnsi="仿宋_GB2312" w:eastAsia="仿宋_GB2312" w:cs="仿宋_GB2312"/>
          <w:b w:val="0"/>
          <w:bCs w:val="0"/>
          <w:color w:val="auto"/>
          <w:highlight w:val="none"/>
        </w:rPr>
        <w:t>府性基金预算财政拨款收入支出决算表</w:t>
      </w:r>
    </w:p>
    <w:p>
      <w:pPr>
        <w:pStyle w:val="4"/>
        <w:rPr>
          <w:rStyle w:val="20"/>
          <w:rFonts w:hint="eastAsia" w:ascii="仿宋_GB2312" w:hAnsi="仿宋_GB2312" w:eastAsia="仿宋_GB2312" w:cs="仿宋_GB2312"/>
          <w:b w:val="0"/>
          <w:bCs w:val="0"/>
          <w:color w:val="auto"/>
          <w:highlight w:val="none"/>
          <w:lang w:eastAsia="zh-CN"/>
        </w:rPr>
      </w:pPr>
      <w:r>
        <w:rPr>
          <w:rStyle w:val="20"/>
          <w:rFonts w:hint="eastAsia" w:ascii="仿宋_GB2312" w:hAnsi="仿宋_GB2312" w:eastAsia="仿宋_GB2312" w:cs="仿宋_GB2312"/>
          <w:b w:val="0"/>
          <w:bCs w:val="0"/>
          <w:color w:val="auto"/>
          <w:highlight w:val="none"/>
        </w:rPr>
        <w:t>十一、</w:t>
      </w:r>
      <w:bookmarkEnd w:id="78"/>
      <w:bookmarkEnd w:id="79"/>
      <w:r>
        <w:rPr>
          <w:rStyle w:val="20"/>
          <w:rFonts w:hint="eastAsia" w:ascii="仿宋_GB2312" w:hAnsi="仿宋_GB2312" w:eastAsia="仿宋_GB2312" w:cs="仿宋_GB2312"/>
          <w:b w:val="0"/>
          <w:bCs w:val="0"/>
          <w:color w:val="auto"/>
          <w:highlight w:val="none"/>
          <w:lang w:eastAsia="zh-CN"/>
        </w:rPr>
        <w:t>国有资本经营预算财政拨款</w:t>
      </w:r>
      <w:r>
        <w:rPr>
          <w:rStyle w:val="20"/>
          <w:rFonts w:hint="eastAsia" w:ascii="仿宋_GB2312" w:hAnsi="仿宋_GB2312" w:cs="仿宋_GB2312"/>
          <w:b w:val="0"/>
          <w:bCs w:val="0"/>
          <w:color w:val="auto"/>
          <w:highlight w:val="none"/>
          <w:lang w:eastAsia="zh-CN"/>
        </w:rPr>
        <w:t>收入</w:t>
      </w:r>
      <w:r>
        <w:rPr>
          <w:rStyle w:val="20"/>
          <w:rFonts w:hint="eastAsia" w:ascii="仿宋_GB2312" w:hAnsi="仿宋_GB2312" w:eastAsia="仿宋_GB2312" w:cs="仿宋_GB2312"/>
          <w:b w:val="0"/>
          <w:bCs w:val="0"/>
          <w:color w:val="auto"/>
          <w:highlight w:val="none"/>
          <w:lang w:eastAsia="zh-CN"/>
        </w:rPr>
        <w:t>支出决算表</w:t>
      </w:r>
    </w:p>
    <w:p>
      <w:pPr>
        <w:pStyle w:val="4"/>
        <w:rPr>
          <w:rStyle w:val="20"/>
          <w:rFonts w:hint="eastAsia" w:ascii="仿宋_GB2312" w:hAnsi="仿宋_GB2312" w:eastAsia="仿宋_GB2312" w:cs="仿宋_GB2312"/>
          <w:b w:val="0"/>
          <w:bCs w:val="0"/>
          <w:color w:val="auto"/>
          <w:highlight w:val="none"/>
          <w:lang w:eastAsia="zh-CN"/>
        </w:rPr>
      </w:pPr>
      <w:bookmarkStart w:id="80" w:name="_Toc15396630"/>
      <w:bookmarkStart w:id="81" w:name="_Toc376677970"/>
      <w:r>
        <w:rPr>
          <w:rStyle w:val="20"/>
          <w:rFonts w:hint="eastAsia" w:ascii="仿宋_GB2312" w:hAnsi="仿宋_GB2312" w:eastAsia="仿宋_GB2312" w:cs="仿宋_GB2312"/>
          <w:b w:val="0"/>
          <w:bCs w:val="0"/>
          <w:color w:val="auto"/>
          <w:highlight w:val="none"/>
        </w:rPr>
        <w:t>十二、</w:t>
      </w:r>
      <w:bookmarkEnd w:id="80"/>
      <w:bookmarkEnd w:id="81"/>
      <w:bookmarkStart w:id="82" w:name="_Toc1184993690"/>
      <w:bookmarkStart w:id="83" w:name="_Toc15396631"/>
      <w:r>
        <w:rPr>
          <w:rStyle w:val="20"/>
          <w:rFonts w:hint="eastAsia" w:ascii="仿宋_GB2312" w:hAnsi="仿宋_GB2312" w:eastAsia="仿宋_GB2312" w:cs="仿宋_GB2312"/>
          <w:b w:val="0"/>
          <w:bCs w:val="0"/>
          <w:color w:val="auto"/>
          <w:highlight w:val="none"/>
          <w:lang w:eastAsia="zh-CN"/>
        </w:rPr>
        <w:t>国有资本经营预算财政拨款支出决算表</w:t>
      </w:r>
    </w:p>
    <w:p>
      <w:pPr>
        <w:pStyle w:val="4"/>
        <w:rPr>
          <w:rStyle w:val="20"/>
          <w:rFonts w:hint="eastAsia" w:ascii="仿宋_GB2312" w:hAnsi="仿宋_GB2312" w:eastAsia="仿宋_GB2312" w:cs="仿宋_GB2312"/>
          <w:b w:val="0"/>
          <w:bCs w:val="0"/>
          <w:color w:val="auto"/>
          <w:highlight w:val="none"/>
        </w:rPr>
      </w:pPr>
      <w:r>
        <w:rPr>
          <w:rStyle w:val="20"/>
          <w:rFonts w:hint="eastAsia" w:ascii="仿宋_GB2312" w:hAnsi="仿宋_GB2312" w:eastAsia="仿宋_GB2312" w:cs="仿宋_GB2312"/>
          <w:b w:val="0"/>
          <w:bCs w:val="0"/>
          <w:color w:val="auto"/>
          <w:highlight w:val="none"/>
        </w:rPr>
        <w:t>十三、</w:t>
      </w:r>
      <w:bookmarkEnd w:id="82"/>
      <w:bookmarkEnd w:id="83"/>
      <w:r>
        <w:rPr>
          <w:rStyle w:val="20"/>
          <w:rFonts w:hint="eastAsia" w:ascii="仿宋_GB2312" w:hAnsi="仿宋_GB2312" w:eastAsia="仿宋_GB2312" w:cs="仿宋_GB2312"/>
          <w:b w:val="0"/>
          <w:bCs w:val="0"/>
          <w:color w:val="auto"/>
          <w:highlight w:val="none"/>
        </w:rPr>
        <w:t>财政拨款“三公”经费支出决算表</w:t>
      </w:r>
    </w:p>
    <w:p>
      <w:pPr>
        <w:pStyle w:val="4"/>
        <w:rPr>
          <w:rStyle w:val="20"/>
          <w:rFonts w:hint="eastAsia" w:ascii="仿宋_GB2312" w:hAnsi="仿宋_GB2312" w:eastAsia="仿宋_GB2312" w:cs="仿宋_GB2312"/>
          <w:b w:val="0"/>
          <w:bCs w:val="0"/>
          <w:color w:val="auto"/>
          <w:highlight w:val="none"/>
        </w:rPr>
      </w:pPr>
    </w:p>
    <w:sectPr>
      <w:footerReference r:id="rId3" w:type="default"/>
      <w:pgSz w:w="11906" w:h="16838"/>
      <w:pgMar w:top="1440" w:right="2106"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
    <w:altName w:val="Times New Roman"/>
    <w:panose1 w:val="00000000000000000000"/>
    <w:charset w:val="00"/>
    <w:family w:val="auto"/>
    <w:pitch w:val="default"/>
    <w:sig w:usb0="00000000" w:usb1="00000000" w:usb2="00000000" w:usb3="00000000" w:csb0="0000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7"/>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F79CAC"/>
    <w:multiLevelType w:val="singleLevel"/>
    <w:tmpl w:val="97F79CAC"/>
    <w:lvl w:ilvl="0" w:tentative="0">
      <w:start w:val="2"/>
      <w:numFmt w:val="chineseCounting"/>
      <w:suff w:val="nothing"/>
      <w:lvlText w:val="（%1）"/>
      <w:lvlJc w:val="left"/>
      <w:rPr>
        <w:rFonts w:hint="eastAsia"/>
      </w:rPr>
    </w:lvl>
  </w:abstractNum>
  <w:abstractNum w:abstractNumId="1">
    <w:nsid w:val="CF652CEC"/>
    <w:multiLevelType w:val="singleLevel"/>
    <w:tmpl w:val="CF652CEC"/>
    <w:lvl w:ilvl="0" w:tentative="0">
      <w:start w:val="9"/>
      <w:numFmt w:val="chineseCounting"/>
      <w:suff w:val="nothing"/>
      <w:lvlText w:val="%1、"/>
      <w:lvlJc w:val="left"/>
      <w:rPr>
        <w:rFonts w:hint="eastAsia" w:cs="Times New Roman"/>
      </w:rPr>
    </w:lvl>
  </w:abstractNum>
  <w:abstractNum w:abstractNumId="2">
    <w:nsid w:val="DE85CC1F"/>
    <w:multiLevelType w:val="singleLevel"/>
    <w:tmpl w:val="DE85CC1F"/>
    <w:lvl w:ilvl="0" w:tentative="0">
      <w:start w:val="4"/>
      <w:numFmt w:val="chineseCounting"/>
      <w:suff w:val="nothing"/>
      <w:lvlText w:val="%1、"/>
      <w:lvlJc w:val="left"/>
      <w:rPr>
        <w:rFonts w:hint="eastAsia"/>
      </w:rPr>
    </w:lvl>
  </w:abstractNum>
  <w:abstractNum w:abstractNumId="3">
    <w:nsid w:val="E2FA047D"/>
    <w:multiLevelType w:val="singleLevel"/>
    <w:tmpl w:val="E2FA047D"/>
    <w:lvl w:ilvl="0" w:tentative="0">
      <w:start w:val="3"/>
      <w:numFmt w:val="chineseCounting"/>
      <w:suff w:val="space"/>
      <w:lvlText w:val="第%1部分"/>
      <w:lvlJc w:val="left"/>
      <w:rPr>
        <w:rFonts w:hint="eastAsia" w:cs="Times New Roman"/>
      </w:rPr>
    </w:lvl>
  </w:abstractNum>
  <w:abstractNum w:abstractNumId="4">
    <w:nsid w:val="05284443"/>
    <w:multiLevelType w:val="singleLevel"/>
    <w:tmpl w:val="05284443"/>
    <w:lvl w:ilvl="0" w:tentative="0">
      <w:start w:val="1"/>
      <w:numFmt w:val="chineseCounting"/>
      <w:suff w:val="nothing"/>
      <w:lvlText w:val="（%1）"/>
      <w:lvlJc w:val="left"/>
      <w:rPr>
        <w:rFonts w:hint="eastAsia"/>
      </w:rPr>
    </w:lvl>
  </w:abstractNum>
  <w:abstractNum w:abstractNumId="5">
    <w:nsid w:val="1272550B"/>
    <w:multiLevelType w:val="multilevel"/>
    <w:tmpl w:val="1272550B"/>
    <w:lvl w:ilvl="0" w:tentative="0">
      <w:start w:val="1"/>
      <w:numFmt w:val="japaneseCounting"/>
      <w:lvlText w:val="%1、"/>
      <w:lvlJc w:val="left"/>
      <w:pPr>
        <w:ind w:left="1360" w:hanging="720"/>
      </w:pPr>
      <w:rPr>
        <w:rFonts w:hint="default" w:cs="Times New Roman"/>
        <w:b w:val="0"/>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abstractNum w:abstractNumId="6">
    <w:nsid w:val="287D9941"/>
    <w:multiLevelType w:val="singleLevel"/>
    <w:tmpl w:val="287D9941"/>
    <w:lvl w:ilvl="0" w:tentative="0">
      <w:start w:val="1"/>
      <w:numFmt w:val="decimal"/>
      <w:lvlText w:val="%1."/>
      <w:lvlJc w:val="left"/>
      <w:pPr>
        <w:tabs>
          <w:tab w:val="left" w:pos="312"/>
        </w:tabs>
      </w:pPr>
    </w:lvl>
  </w:abstractNum>
  <w:abstractNum w:abstractNumId="7">
    <w:nsid w:val="4BBBEFBE"/>
    <w:multiLevelType w:val="singleLevel"/>
    <w:tmpl w:val="4BBBEFBE"/>
    <w:lvl w:ilvl="0" w:tentative="0">
      <w:start w:val="2"/>
      <w:numFmt w:val="chineseCounting"/>
      <w:suff w:val="nothing"/>
      <w:lvlText w:val="（%1）"/>
      <w:lvlJc w:val="left"/>
      <w:rPr>
        <w:rFonts w:hint="eastAsia"/>
      </w:rPr>
    </w:lvl>
  </w:abstractNum>
  <w:abstractNum w:abstractNumId="8">
    <w:nsid w:val="73633838"/>
    <w:multiLevelType w:val="singleLevel"/>
    <w:tmpl w:val="73633838"/>
    <w:lvl w:ilvl="0" w:tentative="0">
      <w:start w:val="1"/>
      <w:numFmt w:val="chineseCounting"/>
      <w:suff w:val="nothing"/>
      <w:lvlText w:val="（%1）"/>
      <w:lvlJc w:val="left"/>
      <w:pPr>
        <w:ind w:left="-80"/>
      </w:pPr>
      <w:rPr>
        <w:rFonts w:hint="eastAsia"/>
      </w:rPr>
    </w:lvl>
  </w:abstractNum>
  <w:abstractNum w:abstractNumId="9">
    <w:nsid w:val="771CD0BB"/>
    <w:multiLevelType w:val="singleLevel"/>
    <w:tmpl w:val="771CD0BB"/>
    <w:lvl w:ilvl="0" w:tentative="0">
      <w:start w:val="2"/>
      <w:numFmt w:val="decimal"/>
      <w:suff w:val="nothing"/>
      <w:lvlText w:val="%1．"/>
      <w:lvlJc w:val="left"/>
    </w:lvl>
  </w:abstractNum>
  <w:num w:numId="1">
    <w:abstractNumId w:val="5"/>
  </w:num>
  <w:num w:numId="2">
    <w:abstractNumId w:val="6"/>
  </w:num>
  <w:num w:numId="3">
    <w:abstractNumId w:val="1"/>
  </w:num>
  <w:num w:numId="4">
    <w:abstractNumId w:val="3"/>
  </w:num>
  <w:num w:numId="5">
    <w:abstractNumId w:val="7"/>
  </w:num>
  <w:num w:numId="6">
    <w:abstractNumId w:val="0"/>
  </w:num>
  <w:num w:numId="7">
    <w:abstractNumId w:val="4"/>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360197"/>
    <w:rsid w:val="040B08A3"/>
    <w:rsid w:val="05055A96"/>
    <w:rsid w:val="069E19CB"/>
    <w:rsid w:val="06D96529"/>
    <w:rsid w:val="0BCE4549"/>
    <w:rsid w:val="10331C38"/>
    <w:rsid w:val="145C38D9"/>
    <w:rsid w:val="147830B9"/>
    <w:rsid w:val="156464DD"/>
    <w:rsid w:val="15861245"/>
    <w:rsid w:val="15C60095"/>
    <w:rsid w:val="15FC08D0"/>
    <w:rsid w:val="16164F50"/>
    <w:rsid w:val="17A14BBC"/>
    <w:rsid w:val="188E73C7"/>
    <w:rsid w:val="18962C45"/>
    <w:rsid w:val="19656227"/>
    <w:rsid w:val="19A8087D"/>
    <w:rsid w:val="1C70672F"/>
    <w:rsid w:val="1EF7441C"/>
    <w:rsid w:val="200E0959"/>
    <w:rsid w:val="20420710"/>
    <w:rsid w:val="223C232F"/>
    <w:rsid w:val="23595388"/>
    <w:rsid w:val="2AFC43EA"/>
    <w:rsid w:val="2CFE5508"/>
    <w:rsid w:val="2EDA68E8"/>
    <w:rsid w:val="2F1A575F"/>
    <w:rsid w:val="313971FA"/>
    <w:rsid w:val="34D72F84"/>
    <w:rsid w:val="36DA58D8"/>
    <w:rsid w:val="38824896"/>
    <w:rsid w:val="3899271E"/>
    <w:rsid w:val="3AEA4077"/>
    <w:rsid w:val="3BCF2652"/>
    <w:rsid w:val="3C6848AD"/>
    <w:rsid w:val="3D054545"/>
    <w:rsid w:val="3E4169FF"/>
    <w:rsid w:val="3FBA472A"/>
    <w:rsid w:val="40433A3E"/>
    <w:rsid w:val="43A448C8"/>
    <w:rsid w:val="43FEC932"/>
    <w:rsid w:val="45314D57"/>
    <w:rsid w:val="48A37B69"/>
    <w:rsid w:val="4A5E032E"/>
    <w:rsid w:val="4E7709EE"/>
    <w:rsid w:val="527D6AD8"/>
    <w:rsid w:val="53D41E0C"/>
    <w:rsid w:val="55BE3B8F"/>
    <w:rsid w:val="569F31B6"/>
    <w:rsid w:val="58DD7EA0"/>
    <w:rsid w:val="5A1F2FBD"/>
    <w:rsid w:val="5C2121ED"/>
    <w:rsid w:val="5D3E75DF"/>
    <w:rsid w:val="5D745935"/>
    <w:rsid w:val="604F3A32"/>
    <w:rsid w:val="607A0DCA"/>
    <w:rsid w:val="62BD1457"/>
    <w:rsid w:val="6504078C"/>
    <w:rsid w:val="65345D5E"/>
    <w:rsid w:val="65FFAF84"/>
    <w:rsid w:val="670255D6"/>
    <w:rsid w:val="68B66A19"/>
    <w:rsid w:val="69285429"/>
    <w:rsid w:val="699C1C6C"/>
    <w:rsid w:val="6C745C11"/>
    <w:rsid w:val="6D4D3E4D"/>
    <w:rsid w:val="700B6A06"/>
    <w:rsid w:val="712B008E"/>
    <w:rsid w:val="71321C51"/>
    <w:rsid w:val="726E3979"/>
    <w:rsid w:val="757B22B7"/>
    <w:rsid w:val="75CD6217"/>
    <w:rsid w:val="766953D0"/>
    <w:rsid w:val="76970792"/>
    <w:rsid w:val="76C74693"/>
    <w:rsid w:val="772628BE"/>
    <w:rsid w:val="776A2C2D"/>
    <w:rsid w:val="77B17CA8"/>
    <w:rsid w:val="7A51162A"/>
    <w:rsid w:val="7A532E1E"/>
    <w:rsid w:val="7B8D44E4"/>
    <w:rsid w:val="7EBFE696"/>
    <w:rsid w:val="7FF40F31"/>
    <w:rsid w:val="B3FD0AB2"/>
    <w:rsid w:val="F7B86D15"/>
    <w:rsid w:val="FCB4E2BB"/>
    <w:rsid w:val="FFFD22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0"/>
    <w:unhideWhenUsed/>
    <w:qFormat/>
    <w:uiPriority w:val="9"/>
    <w:pPr>
      <w:keepNext/>
      <w:keepLines/>
      <w:spacing w:before="260" w:after="260" w:line="416" w:lineRule="auto"/>
      <w:outlineLvl w:val="1"/>
    </w:pPr>
    <w:rPr>
      <w:rFonts w:ascii="Cambria" w:hAnsi="Cambria"/>
      <w:b/>
      <w:bCs/>
      <w:sz w:val="32"/>
      <w:szCs w:val="32"/>
    </w:rPr>
  </w:style>
  <w:style w:type="character" w:default="1" w:styleId="13">
    <w:name w:val="Default Paragraph Font"/>
    <w:semiHidden/>
    <w:qFormat/>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qFormat/>
    <w:uiPriority w:val="99"/>
    <w:pPr>
      <w:spacing w:beforeLines="30"/>
    </w:pPr>
    <w:rPr>
      <w:rFonts w:ascii="仿宋_GB2312" w:eastAsia="仿宋_GB2312"/>
      <w:kern w:val="0"/>
      <w:sz w:val="24"/>
      <w:szCs w:val="20"/>
    </w:rPr>
  </w:style>
  <w:style w:type="paragraph" w:styleId="5">
    <w:name w:val="index 5"/>
    <w:basedOn w:val="1"/>
    <w:next w:val="1"/>
    <w:qFormat/>
    <w:uiPriority w:val="0"/>
    <w:pPr>
      <w:ind w:left="1680"/>
    </w:pPr>
  </w:style>
  <w:style w:type="paragraph" w:styleId="6">
    <w:name w:val="Body Text Indent"/>
    <w:basedOn w:val="1"/>
    <w:qFormat/>
    <w:uiPriority w:val="0"/>
    <w:pPr>
      <w:spacing w:line="560" w:lineRule="exact"/>
      <w:ind w:firstLine="640" w:firstLineChars="200"/>
    </w:pPr>
  </w:style>
  <w:style w:type="paragraph" w:styleId="7">
    <w:name w:val="footer"/>
    <w:basedOn w:val="1"/>
    <w:qFormat/>
    <w:uiPriority w:val="99"/>
    <w:pPr>
      <w:tabs>
        <w:tab w:val="center" w:pos="4153"/>
        <w:tab w:val="right" w:pos="8306"/>
      </w:tabs>
      <w:snapToGrid w:val="0"/>
      <w:jc w:val="left"/>
    </w:pPr>
    <w:rPr>
      <w:rFonts w:ascii="Calibri" w:hAnsi="Calibri"/>
      <w:kern w:val="0"/>
      <w:sz w:val="18"/>
      <w:szCs w:val="20"/>
    </w:rPr>
  </w:style>
  <w:style w:type="paragraph" w:styleId="8">
    <w:name w:val="header"/>
    <w:basedOn w:val="1"/>
    <w:semiHidden/>
    <w:qFormat/>
    <w:uiPriority w:val="99"/>
    <w:pPr>
      <w:pBdr>
        <w:bottom w:val="single" w:color="auto" w:sz="6" w:space="1"/>
      </w:pBdr>
      <w:tabs>
        <w:tab w:val="center" w:pos="4153"/>
        <w:tab w:val="right" w:pos="8306"/>
      </w:tabs>
      <w:snapToGrid w:val="0"/>
      <w:jc w:val="center"/>
    </w:pPr>
    <w:rPr>
      <w:rFonts w:ascii="Calibri" w:hAnsi="Calibri"/>
      <w:kern w:val="0"/>
      <w:sz w:val="18"/>
      <w:szCs w:val="20"/>
    </w:rPr>
  </w:style>
  <w:style w:type="paragraph" w:styleId="9">
    <w:name w:val="toc 1"/>
    <w:basedOn w:val="1"/>
    <w:next w:val="1"/>
    <w:unhideWhenUsed/>
    <w:qFormat/>
    <w:uiPriority w:val="39"/>
    <w:pPr>
      <w:spacing w:before="120"/>
      <w:jc w:val="left"/>
    </w:pPr>
    <w:rPr>
      <w:rFonts w:ascii="等线" w:eastAsia="等线"/>
      <w:b/>
      <w:bCs/>
      <w:i/>
      <w:iCs/>
      <w:sz w:val="24"/>
    </w:rPr>
  </w:style>
  <w:style w:type="paragraph" w:styleId="10">
    <w:name w:val="toc 2"/>
    <w:basedOn w:val="1"/>
    <w:next w:val="1"/>
    <w:unhideWhenUsed/>
    <w:qFormat/>
    <w:uiPriority w:val="39"/>
    <w:pPr>
      <w:spacing w:before="120"/>
      <w:ind w:left="300"/>
      <w:jc w:val="left"/>
    </w:pPr>
    <w:rPr>
      <w:rFonts w:ascii="等线" w:eastAsia="等线"/>
      <w:b/>
      <w:bCs/>
      <w:sz w:val="22"/>
      <w:szCs w:val="22"/>
    </w:rPr>
  </w:style>
  <w:style w:type="paragraph" w:styleId="11">
    <w:name w:val="Body Text First Indent 2"/>
    <w:basedOn w:val="6"/>
    <w:next w:val="5"/>
    <w:qFormat/>
    <w:uiPriority w:val="0"/>
    <w:pPr>
      <w:spacing w:after="120" w:line="240" w:lineRule="auto"/>
      <w:ind w:left="420" w:leftChars="200" w:firstLine="420"/>
    </w:pPr>
  </w:style>
  <w:style w:type="character" w:styleId="14">
    <w:name w:val="Strong"/>
    <w:basedOn w:val="13"/>
    <w:qFormat/>
    <w:uiPriority w:val="99"/>
    <w:rPr>
      <w:rFonts w:cs="Times New Roman"/>
      <w:b/>
    </w:rPr>
  </w:style>
  <w:style w:type="character" w:styleId="15">
    <w:name w:val="Hyperlink"/>
    <w:unhideWhenUsed/>
    <w:qFormat/>
    <w:uiPriority w:val="99"/>
    <w:rPr>
      <w:color w:val="0000FF"/>
      <w:u w:val="single"/>
    </w:rPr>
  </w:style>
  <w:style w:type="character" w:customStyle="1" w:styleId="16">
    <w:name w:val=" Char Char6"/>
    <w:basedOn w:val="13"/>
    <w:link w:val="3"/>
    <w:qFormat/>
    <w:locked/>
    <w:uiPriority w:val="9"/>
    <w:rPr>
      <w:b/>
      <w:bCs/>
      <w:kern w:val="44"/>
      <w:sz w:val="44"/>
      <w:szCs w:val="44"/>
    </w:rPr>
  </w:style>
  <w:style w:type="character" w:customStyle="1" w:styleId="17">
    <w:name w:val=" Char Char5"/>
    <w:basedOn w:val="13"/>
    <w:link w:val="4"/>
    <w:qFormat/>
    <w:locked/>
    <w:uiPriority w:val="9"/>
    <w:rPr>
      <w:rFonts w:ascii="Cambria" w:hAnsi="Cambria"/>
      <w:b/>
      <w:bCs/>
      <w:sz w:val="32"/>
      <w:szCs w:val="32"/>
    </w:rPr>
  </w:style>
  <w:style w:type="paragraph" w:customStyle="1" w:styleId="18">
    <w:name w:val="List Paragraph"/>
    <w:basedOn w:val="1"/>
    <w:qFormat/>
    <w:uiPriority w:val="34"/>
    <w:pPr>
      <w:ind w:firstLine="420" w:firstLineChars="200"/>
    </w:pPr>
  </w:style>
  <w:style w:type="paragraph" w:customStyle="1" w:styleId="19">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20">
    <w:name w:val="标题 2 Char"/>
    <w:basedOn w:val="13"/>
    <w:link w:val="4"/>
    <w:qFormat/>
    <w:uiPriority w:val="9"/>
    <w:rPr>
      <w:rFonts w:asciiTheme="majorHAnsi" w:hAnsiTheme="majorHAnsi" w:eastAsiaTheme="majorEastAsia" w:cstheme="majorBidi"/>
      <w:b/>
      <w:bCs/>
      <w:kern w:val="2"/>
      <w:sz w:val="32"/>
      <w:szCs w:val="32"/>
    </w:rPr>
  </w:style>
  <w:style w:type="paragraph" w:customStyle="1" w:styleId="21">
    <w:name w:val="四号正文"/>
    <w:basedOn w:val="1"/>
    <w:qFormat/>
    <w:uiPriority w:val="0"/>
    <w:pPr>
      <w:widowControl/>
      <w:spacing w:line="360" w:lineRule="auto"/>
      <w:jc w:val="left"/>
    </w:pPr>
    <w:rPr>
      <w:rFonts w:ascii="??" w:hAnsi="??" w:eastAsia="宋体"/>
      <w:color w:val="000000"/>
      <w:kern w:val="0"/>
      <w:sz w:val="28"/>
      <w:szCs w:val="21"/>
    </w:rPr>
  </w:style>
  <w:style w:type="paragraph" w:customStyle="1" w:styleId="22">
    <w:name w:val="正文文本1"/>
    <w:basedOn w:val="1"/>
    <w:qFormat/>
    <w:uiPriority w:val="0"/>
    <w:pPr>
      <w:widowControl w:val="0"/>
      <w:shd w:val="clear" w:color="auto" w:fill="auto"/>
      <w:spacing w:line="401" w:lineRule="auto"/>
      <w:ind w:firstLine="400"/>
    </w:pPr>
    <w:rPr>
      <w:rFonts w:ascii="宋体" w:hAnsi="宋体" w:eastAsia="宋体" w:cs="宋体"/>
      <w:sz w:val="30"/>
      <w:szCs w:val="30"/>
      <w:u w:val="none"/>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5.xml"/><Relationship Id="rId8" Type="http://schemas.openxmlformats.org/officeDocument/2006/relationships/chart" Target="charts/chart4.xml"/><Relationship Id="rId7" Type="http://schemas.openxmlformats.org/officeDocument/2006/relationships/chart" Target="charts/chart3.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chart" Target="charts/chart7.xml"/><Relationship Id="rId10" Type="http://schemas.openxmlformats.org/officeDocument/2006/relationships/chart" Target="charts/chart6.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收、支决算总计变动情况图（单位：万元）</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2021年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2021年</c:v>
                </c:pt>
              </c:strCache>
            </c:strRef>
          </c:cat>
          <c:val>
            <c:numRef>
              <c:f>Sheet1!$B$2</c:f>
              <c:numCache>
                <c:formatCode>General</c:formatCode>
                <c:ptCount val="1"/>
                <c:pt idx="0">
                  <c:v>1299.51</c:v>
                </c:pt>
              </c:numCache>
            </c:numRef>
          </c:val>
        </c:ser>
        <c:ser>
          <c:idx val="1"/>
          <c:order val="1"/>
          <c:tx>
            <c:strRef>
              <c:f>Sheet1!$C$1</c:f>
              <c:strCache>
                <c:ptCount val="1"/>
                <c:pt idx="0">
                  <c:v>2022年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2021年</c:v>
                </c:pt>
              </c:strCache>
            </c:strRef>
          </c:cat>
          <c:val>
            <c:numRef>
              <c:f>Sheet1!$C$2</c:f>
              <c:numCache>
                <c:formatCode>General</c:formatCode>
                <c:ptCount val="1"/>
                <c:pt idx="0">
                  <c:v>1008.36</c:v>
                </c:pt>
              </c:numCache>
            </c:numRef>
          </c:val>
        </c:ser>
        <c:dLbls>
          <c:showLegendKey val="0"/>
          <c:showVal val="1"/>
          <c:showCatName val="0"/>
          <c:showSerName val="0"/>
          <c:showPercent val="0"/>
          <c:showBubbleSize val="0"/>
        </c:dLbls>
        <c:gapWidth val="219"/>
        <c:overlap val="-27"/>
        <c:axId val="911587160"/>
        <c:axId val="475013683"/>
      </c:barChart>
      <c:catAx>
        <c:axId val="911587160"/>
        <c:scaling>
          <c:orientation val="minMax"/>
        </c:scaling>
        <c:delete val="1"/>
        <c:axPos val="b"/>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5013683"/>
        <c:crosses val="autoZero"/>
        <c:auto val="1"/>
        <c:lblAlgn val="ctr"/>
        <c:lblOffset val="100"/>
        <c:noMultiLvlLbl val="0"/>
      </c:catAx>
      <c:valAx>
        <c:axId val="475013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11587160"/>
        <c:crosses val="autoZero"/>
        <c:crossBetween val="between"/>
      </c:valAx>
      <c:spPr>
        <a:noFill/>
        <a:ln>
          <a:noFill/>
        </a:ln>
        <a:effectLst/>
      </c:spPr>
    </c:plotArea>
    <c:legend>
      <c:legendPos val="b"/>
      <c:layout>
        <c:manualLayout>
          <c:xMode val="edge"/>
          <c:yMode val="edge"/>
          <c:x val="0.199625"/>
          <c:y val="0.854604678708914"/>
          <c:w val="0.68125"/>
          <c:h val="0.0986082321587208"/>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600" b="1" i="0" u="none" strike="noStrike" kern="1200" baseline="0">
              <a:solidFill>
                <a:schemeClr val="tx2"/>
              </a:solidFill>
              <a:latin typeface="+mn-lt"/>
              <a:ea typeface="+mn-ea"/>
              <a:cs typeface="+mn-cs"/>
            </a:defRPr>
          </a:pPr>
        </a:p>
      </c:txPr>
    </c:title>
    <c:autoTitleDeleted val="0"/>
    <c:plotArea>
      <c:layout/>
      <c:pieChart>
        <c:varyColors val="1"/>
        <c:ser>
          <c:idx val="0"/>
          <c:order val="0"/>
          <c:tx>
            <c:strRef>
              <c:f>Sheet1!$B$1</c:f>
              <c:strCache>
                <c:ptCount val="1"/>
                <c:pt idx="0">
                  <c:v>收入决算结构图</c:v>
                </c:pt>
              </c:strCache>
            </c:strRef>
          </c:tx>
          <c:spPr/>
          <c:explosion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dPt>
          <c:dLbls>
            <c:dLbl>
              <c:idx val="0"/>
              <c:layout>
                <c:manualLayout>
                  <c:x val="0.00521496686433152"/>
                  <c:y val="-0.141764660170283"/>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2"/>
                        </a:solidFill>
                        <a:latin typeface="+mn-lt"/>
                        <a:ea typeface="+mn-ea"/>
                        <a:cs typeface="+mn-cs"/>
                      </a:defRPr>
                    </a:pPr>
                    <a:r>
                      <a:t>100</a:t>
                    </a:r>
                    <a:r>
                      <a:rPr lang="en-US" altLang="zh-CN"/>
                      <a:t>%</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ext>
              </c:extLst>
            </c:dLbl>
            <c:dLbl>
              <c:idx val="1"/>
              <c:delete val="1"/>
            </c:dLbl>
            <c:dLbl>
              <c:idx val="2"/>
              <c:delete val="1"/>
            </c:dLbl>
            <c:dLbl>
              <c:idx val="3"/>
              <c:delete val="1"/>
            </c:dLbl>
            <c:dLbl>
              <c:idx val="4"/>
              <c:delete val="1"/>
            </c:dLbl>
            <c:dLbl>
              <c:idx val="5"/>
              <c:delete val="1"/>
            </c:dLbl>
            <c:dLbl>
              <c:idx val="6"/>
              <c:delete val="1"/>
            </c:dLbl>
            <c:dLbl>
              <c:idx val="7"/>
              <c:delete val="1"/>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2"/>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Sheet1!$A$2:$A$9</c:f>
              <c:strCache>
                <c:ptCount val="8"/>
                <c:pt idx="0">
                  <c:v>一般公共预算财政拨款收入</c:v>
                </c:pt>
                <c:pt idx="1">
                  <c:v>政府性基金预算财政拨款收入</c:v>
                </c:pt>
                <c:pt idx="2">
                  <c:v>国有资本经营预算财政拨款收入</c:v>
                </c:pt>
                <c:pt idx="3">
                  <c:v>上级补助收入</c:v>
                </c:pt>
                <c:pt idx="4">
                  <c:v>事业收入</c:v>
                </c:pt>
                <c:pt idx="5">
                  <c:v>经营收入</c:v>
                </c:pt>
                <c:pt idx="6">
                  <c:v>附属单位上缴收入</c:v>
                </c:pt>
                <c:pt idx="7">
                  <c:v>其他收入</c:v>
                </c:pt>
              </c:strCache>
            </c:strRef>
          </c:cat>
          <c:val>
            <c:numRef>
              <c:f>Sheet1!$B$2:$B$9</c:f>
              <c:numCache>
                <c:formatCode>General</c:formatCode>
                <c:ptCount val="8"/>
                <c:pt idx="0">
                  <c:v>1008.36</c:v>
                </c:pt>
                <c:pt idx="1">
                  <c:v>0</c:v>
                </c:pt>
                <c:pt idx="2">
                  <c:v>0</c:v>
                </c:pt>
                <c:pt idx="3">
                  <c:v>0</c:v>
                </c:pt>
                <c:pt idx="4">
                  <c:v>0</c:v>
                </c:pt>
                <c:pt idx="5">
                  <c:v>0</c:v>
                </c:pt>
                <c:pt idx="6">
                  <c:v>0</c:v>
                </c:pt>
                <c:pt idx="7">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600" b="1" i="0" u="none" strike="noStrike" kern="1200" baseline="0">
                <a:solidFill>
                  <a:schemeClr val="tx2"/>
                </a:solidFill>
                <a:latin typeface="+mn-lt"/>
                <a:ea typeface="+mn-ea"/>
                <a:cs typeface="+mn-cs"/>
              </a:defRPr>
            </a:pPr>
            <a:r>
              <a:t>支出决算结构图</a:t>
            </a:r>
          </a:p>
        </c:rich>
      </c:tx>
      <c:layout/>
      <c:overlay val="0"/>
      <c:spPr>
        <a:noFill/>
        <a:ln>
          <a:noFill/>
        </a:ln>
        <a:effectLst/>
      </c:spPr>
    </c:title>
    <c:autoTitleDeleted val="0"/>
    <c:plotArea>
      <c:layout/>
      <c:pieChart>
        <c:varyColors val="1"/>
        <c:ser>
          <c:idx val="0"/>
          <c:order val="0"/>
          <c:tx>
            <c:strRef>
              <c:f>Sheet1!$B$1</c:f>
              <c:strCache>
                <c:ptCount val="1"/>
                <c:pt idx="0">
                  <c:v>支出预算结构图</c:v>
                </c:pt>
              </c:strCache>
            </c:strRef>
          </c:tx>
          <c:spPr/>
          <c:explosion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dPt>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2"/>
                        </a:solidFill>
                        <a:latin typeface="+mn-lt"/>
                        <a:ea typeface="+mn-ea"/>
                        <a:cs typeface="+mn-cs"/>
                      </a:defRPr>
                    </a:pPr>
                    <a:r>
                      <a:rPr lang="en-US" altLang="zh-CN"/>
                      <a:t>82.88%</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2"/>
                        </a:solidFill>
                        <a:latin typeface="+mn-lt"/>
                        <a:ea typeface="+mn-ea"/>
                        <a:cs typeface="+mn-cs"/>
                      </a:defRPr>
                    </a:pPr>
                    <a:r>
                      <a:rPr lang="en-US" altLang="zh-CN"/>
                      <a:t>17.12%</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dLbl>
              <c:idx val="2"/>
              <c:layout/>
              <c:dLblPos val="bestFit"/>
              <c:showLegendKey val="0"/>
              <c:showVal val="1"/>
              <c:showCatName val="0"/>
              <c:showSerName val="0"/>
              <c:showPercent val="0"/>
              <c:showBubbleSize val="0"/>
              <c:extLst>
                <c:ext xmlns:c15="http://schemas.microsoft.com/office/drawing/2012/chart" uri="{CE6537A1-D6FC-4f65-9D91-7224C49458BB}">
                  <c15:layout>
                    <c:manualLayout>
                      <c:w val="0.053760406377875"/>
                      <c:h val="0.0714100905562743"/>
                    </c:manualLayout>
                  </c15:layout>
                </c:ext>
              </c:extLst>
            </c:dLbl>
            <c:dLbl>
              <c:idx val="3"/>
              <c:delete val="1"/>
            </c:dLbl>
            <c:dLbl>
              <c:idx val="4"/>
              <c:delete val="1"/>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2"/>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835.74</c:v>
                </c:pt>
                <c:pt idx="1">
                  <c:v>172.62</c:v>
                </c:pt>
                <c:pt idx="2">
                  <c:v>0</c:v>
                </c:pt>
                <c:pt idx="3">
                  <c:v>0</c:v>
                </c:pt>
                <c:pt idx="4">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财政拨款收、支决算总计变动情况（单位：万元）</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2021年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2021年</c:v>
                </c:pt>
              </c:strCache>
            </c:strRef>
          </c:cat>
          <c:val>
            <c:numRef>
              <c:f>Sheet1!$B$2</c:f>
              <c:numCache>
                <c:formatCode>General</c:formatCode>
                <c:ptCount val="1"/>
                <c:pt idx="0">
                  <c:v>1299.51</c:v>
                </c:pt>
              </c:numCache>
            </c:numRef>
          </c:val>
        </c:ser>
        <c:ser>
          <c:idx val="1"/>
          <c:order val="1"/>
          <c:tx>
            <c:strRef>
              <c:f>Sheet1!$C$1</c:f>
              <c:strCache>
                <c:ptCount val="1"/>
                <c:pt idx="0">
                  <c:v>2022年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2021年</c:v>
                </c:pt>
              </c:strCache>
            </c:strRef>
          </c:cat>
          <c:val>
            <c:numRef>
              <c:f>Sheet1!$C$2</c:f>
              <c:numCache>
                <c:formatCode>General</c:formatCode>
                <c:ptCount val="1"/>
                <c:pt idx="0">
                  <c:v>1008.36</c:v>
                </c:pt>
              </c:numCache>
            </c:numRef>
          </c:val>
        </c:ser>
        <c:dLbls>
          <c:showLegendKey val="0"/>
          <c:showVal val="1"/>
          <c:showCatName val="0"/>
          <c:showSerName val="0"/>
          <c:showPercent val="0"/>
          <c:showBubbleSize val="0"/>
        </c:dLbls>
        <c:gapWidth val="219"/>
        <c:overlap val="-27"/>
        <c:axId val="911587160"/>
        <c:axId val="475013683"/>
      </c:barChart>
      <c:catAx>
        <c:axId val="911587160"/>
        <c:scaling>
          <c:orientation val="minMax"/>
        </c:scaling>
        <c:delete val="1"/>
        <c:axPos val="b"/>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5013683"/>
        <c:crosses val="autoZero"/>
        <c:auto val="1"/>
        <c:lblAlgn val="ctr"/>
        <c:lblOffset val="100"/>
        <c:noMultiLvlLbl val="0"/>
      </c:catAx>
      <c:valAx>
        <c:axId val="475013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11587160"/>
        <c:crosses val="autoZero"/>
        <c:crossBetween val="between"/>
      </c:valAx>
      <c:spPr>
        <a:noFill/>
        <a:ln>
          <a:noFill/>
        </a:ln>
        <a:effectLst/>
      </c:spPr>
    </c:plotArea>
    <c:legend>
      <c:legendPos val="b"/>
      <c:layout>
        <c:manualLayout>
          <c:xMode val="edge"/>
          <c:yMode val="edge"/>
          <c:x val="0.21225"/>
          <c:y val="0.865857269766065"/>
          <c:w val="0.68125"/>
          <c:h val="0.0986082321587208"/>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一般公共预算财政拨款支出决算变动情况（单位：万元）</a:t>
            </a:r>
          </a:p>
        </c:rich>
      </c:tx>
      <c:layout>
        <c:manualLayout>
          <c:xMode val="edge"/>
          <c:yMode val="edge"/>
          <c:x val="0.09075"/>
          <c:y val="0.0239857862007699"/>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2021年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2021年</c:v>
                </c:pt>
              </c:strCache>
            </c:strRef>
          </c:cat>
          <c:val>
            <c:numRef>
              <c:f>Sheet1!$B$2</c:f>
              <c:numCache>
                <c:formatCode>General</c:formatCode>
                <c:ptCount val="1"/>
                <c:pt idx="0">
                  <c:v>1299.51</c:v>
                </c:pt>
              </c:numCache>
            </c:numRef>
          </c:val>
        </c:ser>
        <c:ser>
          <c:idx val="1"/>
          <c:order val="1"/>
          <c:tx>
            <c:strRef>
              <c:f>Sheet1!$C$1</c:f>
              <c:strCache>
                <c:ptCount val="1"/>
                <c:pt idx="0">
                  <c:v>2022年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2021年</c:v>
                </c:pt>
              </c:strCache>
            </c:strRef>
          </c:cat>
          <c:val>
            <c:numRef>
              <c:f>Sheet1!$C$2</c:f>
              <c:numCache>
                <c:formatCode>General</c:formatCode>
                <c:ptCount val="1"/>
                <c:pt idx="0">
                  <c:v>1008.36</c:v>
                </c:pt>
              </c:numCache>
            </c:numRef>
          </c:val>
        </c:ser>
        <c:dLbls>
          <c:showLegendKey val="0"/>
          <c:showVal val="1"/>
          <c:showCatName val="0"/>
          <c:showSerName val="0"/>
          <c:showPercent val="0"/>
          <c:showBubbleSize val="0"/>
        </c:dLbls>
        <c:gapWidth val="219"/>
        <c:overlap val="-27"/>
        <c:axId val="911587160"/>
        <c:axId val="475013683"/>
      </c:barChart>
      <c:catAx>
        <c:axId val="911587160"/>
        <c:scaling>
          <c:orientation val="minMax"/>
        </c:scaling>
        <c:delete val="1"/>
        <c:axPos val="b"/>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5013683"/>
        <c:crosses val="autoZero"/>
        <c:auto val="1"/>
        <c:lblAlgn val="ctr"/>
        <c:lblOffset val="100"/>
        <c:noMultiLvlLbl val="0"/>
      </c:catAx>
      <c:valAx>
        <c:axId val="475013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11587160"/>
        <c:crosses val="autoZero"/>
        <c:crossBetween val="between"/>
      </c:valAx>
      <c:spPr>
        <a:noFill/>
        <a:ln>
          <a:noFill/>
        </a:ln>
        <a:effectLst/>
      </c:spPr>
    </c:plotArea>
    <c:legend>
      <c:legendPos val="b"/>
      <c:layout>
        <c:manualLayout>
          <c:xMode val="edge"/>
          <c:yMode val="edge"/>
          <c:x val="0.21225"/>
          <c:y val="0.865857269766065"/>
          <c:w val="0.68125"/>
          <c:h val="0.0986082321587208"/>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600" b="1" i="0" u="none" strike="noStrike" kern="1200" baseline="0">
              <a:solidFill>
                <a:schemeClr val="tx2"/>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一般公共预算财政拨款支出决算结构</c:v>
                </c:pt>
              </c:strCache>
            </c:strRef>
          </c:tx>
          <c:spPr/>
          <c:explosion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dPt>
          <c:dLbls>
            <c:dLbl>
              <c:idx val="0"/>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dLblPos val="bestFit"/>
              <c:showLegendKey val="0"/>
              <c:showVal val="1"/>
              <c:showCatName val="0"/>
              <c:showSerName val="0"/>
              <c:showPercent val="0"/>
              <c:showBubbleSize val="0"/>
              <c:extLst>
                <c:ext xmlns:c15="http://schemas.microsoft.com/office/drawing/2012/chart" uri="{CE6537A1-D6FC-4f65-9D91-7224C49458BB}"/>
              </c:extLst>
            </c:dLbl>
            <c:dLbl>
              <c:idx val="3"/>
              <c:layout/>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2"/>
                    </a:solidFill>
                    <a:latin typeface="+mn-lt"/>
                    <a:ea typeface="+mn-ea"/>
                    <a:cs typeface="+mn-cs"/>
                  </a:defRPr>
                </a:pPr>
              </a:p>
            </c:txPr>
            <c:dLblPos val="bestFit"/>
            <c:showLegendKey val="0"/>
            <c:showVal val="0"/>
            <c:showCatName val="0"/>
            <c:showSerName val="0"/>
            <c:showPercent val="0"/>
            <c:showBubbleSize val="0"/>
            <c:showLeaderLines val="1"/>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Sheet1!$A$2:$A$5</c:f>
              <c:strCache>
                <c:ptCount val="4"/>
                <c:pt idx="0">
                  <c:v>公共安全支出</c:v>
                </c:pt>
                <c:pt idx="1">
                  <c:v>社会保障和就业支出</c:v>
                </c:pt>
                <c:pt idx="2">
                  <c:v>卫生健康支出</c:v>
                </c:pt>
                <c:pt idx="3">
                  <c:v>住房保障支出</c:v>
                </c:pt>
              </c:strCache>
            </c:strRef>
          </c:cat>
          <c:val>
            <c:numRef>
              <c:f>Sheet1!$B$2:$B$5</c:f>
              <c:numCache>
                <c:formatCode>0.00%</c:formatCode>
                <c:ptCount val="4"/>
                <c:pt idx="0">
                  <c:v>0.7933</c:v>
                </c:pt>
                <c:pt idx="1">
                  <c:v>0.0902</c:v>
                </c:pt>
                <c:pt idx="2">
                  <c:v>0.041</c:v>
                </c:pt>
                <c:pt idx="3">
                  <c:v>0.0755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600" b="1" i="0" u="none" strike="noStrike" kern="1200" baseline="0">
              <a:solidFill>
                <a:schemeClr val="tx2"/>
              </a:solidFill>
              <a:latin typeface="+mn-lt"/>
              <a:ea typeface="+mn-ea"/>
              <a:cs typeface="+mn-cs"/>
            </a:defRPr>
          </a:pPr>
        </a:p>
      </c:txPr>
    </c:title>
    <c:autoTitleDeleted val="0"/>
    <c:plotArea>
      <c:layout/>
      <c:pieChart>
        <c:varyColors val="1"/>
        <c:ser>
          <c:idx val="0"/>
          <c:order val="0"/>
          <c:tx>
            <c:strRef>
              <c:f>Sheet1!$B$1</c:f>
              <c:strCache>
                <c:ptCount val="1"/>
                <c:pt idx="0">
                  <c:v>“三公”经费财政拨款支出结构</c:v>
                </c:pt>
              </c:strCache>
            </c:strRef>
          </c:tx>
          <c:spPr/>
          <c:explosion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dPt>
          <c:dLbls>
            <c:dLbl>
              <c:idx val="0"/>
              <c:delete val="1"/>
            </c:dLbl>
            <c:dLbl>
              <c:idx val="1"/>
              <c:layout/>
              <c:dLblPos val="bestFit"/>
              <c:showLegendKey val="0"/>
              <c:showVal val="1"/>
              <c:showCatName val="0"/>
              <c:showSerName val="0"/>
              <c:showPercent val="0"/>
              <c:showBubbleSize val="0"/>
              <c:extLst>
                <c:ext xmlns:c15="http://schemas.microsoft.com/office/drawing/2012/chart" uri="{CE6537A1-D6FC-4f65-9D91-7224C49458BB}"/>
              </c:extLst>
            </c:dLbl>
            <c:dLbl>
              <c:idx val="2"/>
              <c:delete val="1"/>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2"/>
                    </a:solidFill>
                    <a:latin typeface="+mn-lt"/>
                    <a:ea typeface="+mn-ea"/>
                    <a:cs typeface="+mn-cs"/>
                  </a:defRPr>
                </a:pPr>
              </a:p>
            </c:txPr>
            <c:dLblPos val="bestFit"/>
            <c:showLegendKey val="0"/>
            <c:showVal val="0"/>
            <c:showCatName val="0"/>
            <c:showSerName val="0"/>
            <c:showPercent val="0"/>
            <c:showBubbleSize val="0"/>
            <c:showLeaderLines val="1"/>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Sheet1!$A$2:$A$4</c:f>
              <c:strCache>
                <c:ptCount val="3"/>
                <c:pt idx="0">
                  <c:v>因公出国（境）费</c:v>
                </c:pt>
                <c:pt idx="1">
                  <c:v>公务用车购置及运行费</c:v>
                </c:pt>
                <c:pt idx="2">
                  <c:v>公务接待费</c:v>
                </c:pt>
              </c:strCache>
            </c:strRef>
          </c:cat>
          <c:val>
            <c:numRef>
              <c:f>Sheet1!$B$2:$B$4</c:f>
              <c:numCache>
                <c:formatCode>General</c:formatCode>
                <c:ptCount val="3"/>
                <c:pt idx="0">
                  <c:v>0</c:v>
                </c:pt>
                <c:pt idx="1" c:formatCode="0%">
                  <c:v>1</c:v>
                </c:pt>
                <c:pt idx="2">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2021-09-10T03:29:00Z</dcterms:created>
  <dc:creator>Administrator</dc:creator>
  <cp:lastModifiedBy>Administrator</cp:lastModifiedBy>
  <dcterms:modified xsi:type="dcterms:W3CDTF">2026-09-09T03:25:02Z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