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3D793">
      <w:pPr>
        <w:pStyle w:val="9"/>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Times New Roman" w:eastAsia="方正小标宋简体" w:cs="Times New Roman"/>
          <w:color w:val="auto"/>
          <w:kern w:val="2"/>
          <w:sz w:val="44"/>
          <w:szCs w:val="44"/>
          <w:highlight w:val="none"/>
          <w:lang w:val="en-US" w:eastAsia="zh-CN" w:bidi="ar-SA"/>
        </w:rPr>
      </w:pPr>
      <w:bookmarkStart w:id="0" w:name="_Toc15306267"/>
      <w:bookmarkStart w:id="1" w:name="_Toc15396598"/>
      <w:bookmarkStart w:id="2" w:name="_Toc15396476"/>
      <w:bookmarkStart w:id="3" w:name="_Toc15377194"/>
      <w:bookmarkStart w:id="4" w:name="_Toc15377426"/>
      <w:bookmarkStart w:id="5" w:name="_Toc15378442"/>
      <w:r>
        <w:rPr>
          <w:rFonts w:hint="eastAsia" w:ascii="Times New Roman" w:hAnsi="Times New Roman" w:eastAsia="方正小标宋简体" w:cs="Times New Roman"/>
          <w:color w:val="auto"/>
          <w:kern w:val="2"/>
          <w:sz w:val="44"/>
          <w:szCs w:val="44"/>
          <w:highlight w:val="none"/>
          <w:lang w:val="en-US" w:eastAsia="zh-CN" w:bidi="ar-SA"/>
        </w:rPr>
        <w:t>2024年度</w:t>
      </w:r>
      <w:bookmarkEnd w:id="0"/>
      <w:bookmarkStart w:id="6" w:name="_Toc15306268"/>
      <w:r>
        <w:rPr>
          <w:rFonts w:hint="eastAsia" w:ascii="Times New Roman" w:eastAsia="方正小标宋简体" w:cs="Times New Roman"/>
          <w:color w:val="auto"/>
          <w:kern w:val="2"/>
          <w:sz w:val="44"/>
          <w:szCs w:val="44"/>
          <w:highlight w:val="none"/>
          <w:lang w:val="en-US" w:eastAsia="zh-CN" w:bidi="ar-SA"/>
        </w:rPr>
        <w:t>自贡市荣县人民检察院</w:t>
      </w:r>
    </w:p>
    <w:p w14:paraId="0B4BD8A1">
      <w:pPr>
        <w:pStyle w:val="9"/>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1"/>
      <w:bookmarkEnd w:id="2"/>
      <w:bookmarkEnd w:id="3"/>
      <w:bookmarkEnd w:id="4"/>
      <w:bookmarkEnd w:id="5"/>
      <w:bookmarkEnd w:id="6"/>
      <w:r>
        <w:rPr>
          <w:rFonts w:hint="eastAsia" w:ascii="Times New Roman" w:eastAsia="方正小标宋简体" w:cs="Times New Roman"/>
          <w:color w:val="auto"/>
          <w:kern w:val="2"/>
          <w:sz w:val="44"/>
          <w:szCs w:val="44"/>
          <w:highlight w:val="none"/>
          <w:lang w:val="en-US" w:eastAsia="zh-CN" w:bidi="ar-SA"/>
        </w:rPr>
        <w:t>编制说明</w:t>
      </w:r>
    </w:p>
    <w:p w14:paraId="4DD95650">
      <w:pPr>
        <w:pageBreakBefore w:val="0"/>
        <w:widowControl/>
        <w:kinsoku/>
        <w:wordWrap/>
        <w:overflowPunct/>
        <w:topLinePunct w:val="0"/>
        <w:autoSpaceDE/>
        <w:autoSpaceDN/>
        <w:bidi w:val="0"/>
        <w:spacing w:line="572" w:lineRule="exact"/>
        <w:jc w:val="center"/>
        <w:textAlignment w:val="auto"/>
        <w:rPr>
          <w:rFonts w:hint="eastAsia" w:ascii="Times New Roman" w:hAnsi="Times New Roman" w:eastAsia="黑体"/>
          <w:color w:val="auto"/>
          <w:sz w:val="48"/>
          <w:szCs w:val="48"/>
          <w:highlight w:val="none"/>
        </w:rPr>
      </w:pPr>
    </w:p>
    <w:p w14:paraId="74743FC8">
      <w:pPr>
        <w:pageBreakBefore w:val="0"/>
        <w:widowControl/>
        <w:kinsoku/>
        <w:wordWrap/>
        <w:overflowPunct/>
        <w:topLinePunct w:val="0"/>
        <w:autoSpaceDE/>
        <w:autoSpaceDN/>
        <w:bidi w:val="0"/>
        <w:spacing w:line="572" w:lineRule="exact"/>
        <w:jc w:val="center"/>
        <w:textAlignment w:val="auto"/>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DAC8640">
      <w:pPr>
        <w:pageBreakBefore w:val="0"/>
        <w:widowControl/>
        <w:kinsoku/>
        <w:wordWrap/>
        <w:overflowPunct/>
        <w:topLinePunct w:val="0"/>
        <w:autoSpaceDE/>
        <w:autoSpaceDN/>
        <w:bidi w:val="0"/>
        <w:spacing w:line="572" w:lineRule="exact"/>
        <w:jc w:val="center"/>
        <w:textAlignment w:val="auto"/>
        <w:rPr>
          <w:rFonts w:ascii="Times New Roman" w:hAnsi="Times New Roman" w:eastAsia="黑体" w:cstheme="minorBidi"/>
          <w:color w:val="auto"/>
          <w:sz w:val="28"/>
          <w:szCs w:val="28"/>
          <w:highlight w:val="none"/>
        </w:rPr>
      </w:pPr>
    </w:p>
    <w:p w14:paraId="69A2A354">
      <w:pPr>
        <w:pStyle w:val="14"/>
        <w:pageBreakBefore w:val="0"/>
        <w:kinsoku/>
        <w:wordWrap/>
        <w:overflowPunct/>
        <w:topLinePunct w:val="0"/>
        <w:autoSpaceDE/>
        <w:autoSpaceDN/>
        <w:bidi w:val="0"/>
        <w:spacing w:line="572" w:lineRule="exact"/>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15</w:t>
      </w:r>
      <w:bookmarkStart w:id="60" w:name="_GoBack"/>
      <w:bookmarkEnd w:id="60"/>
      <w:r>
        <w:rPr>
          <w:rFonts w:hint="eastAsia" w:ascii="Times New Roman" w:hAnsi="Times New Roman" w:eastAsia="仿宋_GB2312" w:cs="仿宋_GB2312"/>
          <w:color w:val="auto"/>
          <w:sz w:val="32"/>
          <w:szCs w:val="32"/>
          <w:highlight w:val="none"/>
        </w:rPr>
        <w:t>日</w:t>
      </w:r>
    </w:p>
    <w:p w14:paraId="0B59A672">
      <w:pPr>
        <w:pageBreakBefore w:val="0"/>
        <w:kinsoku/>
        <w:wordWrap/>
        <w:overflowPunct/>
        <w:topLinePunct w:val="0"/>
        <w:autoSpaceDE/>
        <w:autoSpaceDN/>
        <w:bidi w:val="0"/>
        <w:spacing w:line="572" w:lineRule="exact"/>
        <w:textAlignment w:val="auto"/>
        <w:rPr>
          <w:rFonts w:ascii="Times New Roman" w:hAnsi="Times New Roman"/>
          <w:color w:val="auto"/>
          <w:highlight w:val="none"/>
        </w:rPr>
      </w:pPr>
    </w:p>
    <w:p w14:paraId="56B9A1E1">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eastAsia"/>
          <w:lang w:eastAsia="zh-CN"/>
        </w:rPr>
      </w:pPr>
      <w:r>
        <w:rPr>
          <w:rFonts w:hint="eastAsia"/>
        </w:rPr>
        <w:t xml:space="preserve">第一部分 </w:t>
      </w:r>
      <w:r>
        <w:rPr>
          <w:rFonts w:hint="eastAsia"/>
          <w:lang w:val="en-US" w:eastAsia="zh-CN"/>
        </w:rPr>
        <w:t>单位</w:t>
      </w:r>
      <w:r>
        <w:rPr>
          <w:rFonts w:hint="eastAsia"/>
        </w:rPr>
        <w:t>概况</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p>
    <w:p w14:paraId="1B36BE4B">
      <w:pPr>
        <w:pStyle w:val="14"/>
        <w:keepNext w:val="0"/>
        <w:keepLines w:val="0"/>
        <w:pageBreakBefore w:val="0"/>
        <w:kinsoku/>
        <w:wordWrap/>
        <w:overflowPunct/>
        <w:topLinePunct w:val="0"/>
        <w:autoSpaceDE/>
        <w:autoSpaceDN/>
        <w:bidi w:val="0"/>
        <w:adjustRightInd w:val="0"/>
        <w:snapToGrid w:val="0"/>
        <w:spacing w:before="0" w:line="572" w:lineRule="exact"/>
        <w:ind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单位</w:t>
      </w:r>
      <w:r>
        <w:rPr>
          <w:rFonts w:hint="eastAsia" w:ascii="Times New Roman" w:hAnsi="Times New Roman" w:eastAsia="仿宋_GB2312" w:cs="仿宋_GB2312"/>
          <w:color w:val="auto"/>
          <w:sz w:val="32"/>
          <w:szCs w:val="32"/>
          <w:highlight w:val="none"/>
          <w:lang w:eastAsia="zh-CN"/>
        </w:rPr>
        <w:t>职责</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p>
    <w:p w14:paraId="0682FDCC">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二、机构设置</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4</w:t>
      </w:r>
    </w:p>
    <w:p w14:paraId="0BF37F86">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eastAsia" w:ascii="Times New Roman" w:hAnsi="Times New Roman" w:eastAsia="仿宋_GB2312" w:cs="黑体"/>
          <w:color w:val="auto"/>
          <w:sz w:val="32"/>
          <w:szCs w:val="32"/>
          <w:highlight w:val="none"/>
          <w:lang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p>
    <w:p w14:paraId="78F98E06">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p>
    <w:p w14:paraId="7DF5B7C5">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p>
    <w:p w14:paraId="5B3FB20A">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6</w:t>
      </w:r>
    </w:p>
    <w:p w14:paraId="7E83A1AC">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7</w:t>
      </w:r>
    </w:p>
    <w:p w14:paraId="6E9D528E">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7</w:t>
      </w:r>
    </w:p>
    <w:p w14:paraId="4E533C30">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9</w:t>
      </w:r>
    </w:p>
    <w:p w14:paraId="69C1F3DD">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10</w:t>
      </w:r>
    </w:p>
    <w:p w14:paraId="26B8A8AD">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13</w:t>
      </w:r>
    </w:p>
    <w:p w14:paraId="49BCD123">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13</w:t>
      </w:r>
    </w:p>
    <w:p w14:paraId="4830C0B8">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13</w:t>
      </w:r>
    </w:p>
    <w:p w14:paraId="7B281613">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16</w:t>
      </w:r>
    </w:p>
    <w:p w14:paraId="69554419">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18</w:t>
      </w:r>
    </w:p>
    <w:p w14:paraId="410837FF">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default" w:ascii="仿宋_GB2312" w:hAnsi="仿宋_GB2312" w:eastAsia="仿宋_GB2312" w:cs="仿宋_GB2312"/>
          <w:b w:val="0"/>
          <w:bCs w:val="0"/>
          <w:i w:val="0"/>
          <w:iCs w:val="0"/>
          <w:sz w:val="32"/>
          <w:szCs w:val="32"/>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178CA53E">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一、收入支出决算总表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16C01039">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3AD8F1D3">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78992C81">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7201C958">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2A09C931">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7AA3CDBA">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0C33F058">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20425875">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1F235BA4">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39DC3D43">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61E2DF2D">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37018242">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6EE3D6FB">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39AC9C77">
      <w:pPr>
        <w:pStyle w:val="4"/>
        <w:pageBreakBefore w:val="0"/>
        <w:kinsoku/>
        <w:wordWrap/>
        <w:overflowPunct/>
        <w:topLinePunct w:val="0"/>
        <w:autoSpaceDE/>
        <w:autoSpaceDN/>
        <w:bidi w:val="0"/>
        <w:spacing w:line="572" w:lineRule="exact"/>
        <w:jc w:val="center"/>
        <w:textAlignment w:val="auto"/>
        <w:rPr>
          <w:rFonts w:hint="eastAsia" w:ascii="Times New Roman" w:hAnsi="Times New Roman" w:eastAsia="方正小标宋简体" w:cs="方正小标宋简体"/>
          <w:b w:val="0"/>
          <w:color w:val="auto"/>
          <w:highlight w:val="none"/>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bookmarkStart w:id="7" w:name="_Toc15377196"/>
      <w:bookmarkStart w:id="8" w:name="_Toc15396599"/>
    </w:p>
    <w:p w14:paraId="543B3F47">
      <w:pPr>
        <w:pStyle w:val="4"/>
        <w:pageBreakBefore w:val="0"/>
        <w:kinsoku/>
        <w:wordWrap/>
        <w:overflowPunct/>
        <w:topLinePunct w:val="0"/>
        <w:autoSpaceDE/>
        <w:autoSpaceDN/>
        <w:bidi w:val="0"/>
        <w:spacing w:line="572"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31"/>
          <w:rFonts w:hint="eastAsia" w:ascii="Times New Roman" w:hAnsi="Times New Roman" w:eastAsia="方正小标宋简体" w:cs="方正小标宋简体"/>
          <w:b w:val="0"/>
          <w:bCs w:val="0"/>
          <w:color w:val="auto"/>
          <w:highlight w:val="none"/>
        </w:rPr>
        <w:t>概况</w:t>
      </w:r>
      <w:bookmarkEnd w:id="7"/>
      <w:bookmarkEnd w:id="8"/>
    </w:p>
    <w:p w14:paraId="191F110B">
      <w:pPr>
        <w:pStyle w:val="5"/>
        <w:pageBreakBefore w:val="0"/>
        <w:numPr>
          <w:ilvl w:val="0"/>
          <w:numId w:val="1"/>
        </w:numPr>
        <w:kinsoku/>
        <w:wordWrap/>
        <w:overflowPunct/>
        <w:topLinePunct w:val="0"/>
        <w:autoSpaceDE/>
        <w:autoSpaceDN/>
        <w:bidi w:val="0"/>
        <w:spacing w:line="572" w:lineRule="exact"/>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单位</w:t>
      </w:r>
      <w:r>
        <w:rPr>
          <w:rFonts w:hint="eastAsia" w:ascii="Times New Roman" w:hAnsi="Times New Roman" w:eastAsia="黑体"/>
          <w:b w:val="0"/>
          <w:color w:val="auto"/>
          <w:highlight w:val="none"/>
          <w:lang w:eastAsia="zh-CN"/>
        </w:rPr>
        <w:t>职责</w:t>
      </w:r>
    </w:p>
    <w:p w14:paraId="603B0E9C">
      <w:pPr>
        <w:pageBreakBefore w:val="0"/>
        <w:widowControl w:val="0"/>
        <w:kinsoku/>
        <w:wordWrap/>
        <w:overflowPunct/>
        <w:topLinePunct w:val="0"/>
        <w:autoSpaceDE/>
        <w:autoSpaceDN/>
        <w:bidi w:val="0"/>
        <w:adjustRightInd/>
        <w:snapToGrid w:val="0"/>
        <w:spacing w:line="572" w:lineRule="exact"/>
        <w:ind w:firstLine="643" w:firstLineChars="200"/>
        <w:textAlignment w:val="auto"/>
        <w:rPr>
          <w:rFonts w:hint="eastAsia"/>
          <w:lang w:eastAsia="zh-CN"/>
        </w:rPr>
      </w:pPr>
      <w:r>
        <w:rPr>
          <w:rFonts w:hint="eastAsia" w:ascii="楷体_GB2312" w:hAnsi="仿宋" w:eastAsia="楷体_GB2312"/>
          <w:b/>
          <w:sz w:val="32"/>
          <w:szCs w:val="32"/>
        </w:rPr>
        <w:t>（一）</w:t>
      </w:r>
      <w:r>
        <w:rPr>
          <w:rFonts w:hint="eastAsia" w:ascii="楷体_GB2312" w:hAnsi="仿宋" w:eastAsia="楷体_GB2312"/>
          <w:b/>
          <w:sz w:val="32"/>
          <w:szCs w:val="32"/>
          <w:lang w:val="en-US" w:eastAsia="zh-CN"/>
        </w:rPr>
        <w:t>单位</w:t>
      </w:r>
      <w:r>
        <w:rPr>
          <w:rFonts w:hint="eastAsia" w:ascii="楷体_GB2312" w:hAnsi="楷体_GB2312" w:eastAsia="楷体_GB2312" w:cs="楷体_GB2312"/>
          <w:b/>
          <w:bCs/>
          <w:sz w:val="32"/>
          <w:szCs w:val="32"/>
        </w:rPr>
        <w:t>职能</w:t>
      </w:r>
      <w:r>
        <w:rPr>
          <w:rFonts w:hint="eastAsia" w:ascii="楷体_GB2312" w:hAnsi="楷体_GB2312" w:eastAsia="楷体_GB2312" w:cs="楷体_GB2312"/>
          <w:b/>
          <w:bCs/>
          <w:sz w:val="32"/>
          <w:szCs w:val="32"/>
          <w:lang w:val="en-US" w:eastAsia="zh-CN"/>
        </w:rPr>
        <w:t>职责</w:t>
      </w:r>
    </w:p>
    <w:p w14:paraId="4E33D908">
      <w:pPr>
        <w:pageBreakBefore w:val="0"/>
        <w:kinsoku/>
        <w:wordWrap/>
        <w:overflowPunct/>
        <w:topLinePunct w:val="0"/>
        <w:autoSpaceDE/>
        <w:autoSpaceDN/>
        <w:bidi w:val="0"/>
        <w:spacing w:line="572" w:lineRule="exact"/>
        <w:ind w:firstLine="640" w:firstLineChars="200"/>
        <w:textAlignment w:val="auto"/>
        <w:rPr>
          <w:rFonts w:hint="eastAsia"/>
        </w:rPr>
      </w:pPr>
      <w:r>
        <w:rPr>
          <w:rFonts w:hint="eastAsia" w:ascii="仿宋_GB2312" w:eastAsia="仿宋_GB2312"/>
          <w:sz w:val="32"/>
          <w:szCs w:val="32"/>
        </w:rPr>
        <w:t>深入贯彻习近平新时代中国特色社会主义思想，深入贯彻党的路线方针政策和决策部署，统一检察机关思想和行动，坚持党对检察工作的绝对领导，坚决维护习近平总书记的核心地位，坚决维护党中央权威和集中统一领导。依法向荣县人民代表大会及其常务委员会提出议案。依照法律规定对由荣县人民检察院直接受理的刑事案件行使侦查权。对全县的刑事案件依法审查批准逮捕、决定逮捕、提起公诉。负责应由荣县人民检察院承办的刑事、民事、行政诉讼活动及刑事、民事、行政判决和裁定等生效法律文书执行的法律监督工作。负责应由荣县人民检察院承办的提起公益诉讼工作。负责应由荣县人民检察院承办的对看守所等执法活动的法律监督工作。受理向荣县人民检察院的控告申诉等。</w:t>
      </w:r>
    </w:p>
    <w:p w14:paraId="14A64434">
      <w:pPr>
        <w:pageBreakBefore w:val="0"/>
        <w:widowControl w:val="0"/>
        <w:kinsoku/>
        <w:wordWrap/>
        <w:overflowPunct/>
        <w:topLinePunct w:val="0"/>
        <w:autoSpaceDE/>
        <w:autoSpaceDN/>
        <w:bidi w:val="0"/>
        <w:adjustRightInd/>
        <w:snapToGrid w:val="0"/>
        <w:spacing w:line="572" w:lineRule="exact"/>
        <w:ind w:firstLine="643" w:firstLineChars="200"/>
        <w:textAlignment w:val="auto"/>
        <w:rPr>
          <w:rFonts w:hint="default" w:ascii="楷体_GB2312" w:hAnsi="仿宋" w:eastAsia="楷体_GB2312"/>
          <w:b/>
          <w:sz w:val="32"/>
          <w:szCs w:val="32"/>
          <w:lang w:val="en-US"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二</w:t>
      </w: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内设部门职能职责</w:t>
      </w:r>
    </w:p>
    <w:p w14:paraId="031056B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荣县人民检察院</w:t>
      </w:r>
      <w:r>
        <w:rPr>
          <w:rFonts w:hint="eastAsia" w:ascii="仿宋_GB2312" w:hAnsi="仿宋_GB2312" w:eastAsia="仿宋_GB2312" w:cs="仿宋_GB2312"/>
          <w:sz w:val="32"/>
          <w:lang w:val="en-US" w:eastAsia="zh-CN"/>
        </w:rPr>
        <w:t>内设机构改革后，共设办公室、政治部、第一检察部、第二检察部、第三检察部、第四检察部、第五检察部、综合业务部共</w:t>
      </w:r>
      <w:r>
        <w:rPr>
          <w:rFonts w:hint="default" w:ascii="Times New Roman" w:hAnsi="Times New Roman" w:eastAsia="仿宋_GB2312" w:cs="Times New Roman"/>
          <w:sz w:val="32"/>
          <w:lang w:val="en-US" w:eastAsia="zh-CN"/>
        </w:rPr>
        <w:t>8</w:t>
      </w:r>
      <w:r>
        <w:rPr>
          <w:rFonts w:hint="eastAsia" w:ascii="仿宋_GB2312" w:hAnsi="仿宋_GB2312" w:eastAsia="仿宋_GB2312" w:cs="仿宋_GB2312"/>
          <w:sz w:val="32"/>
          <w:lang w:val="en-US" w:eastAsia="zh-CN"/>
        </w:rPr>
        <w:t>个职能业务部门。</w:t>
      </w:r>
    </w:p>
    <w:p w14:paraId="0785F25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bCs/>
          <w:sz w:val="32"/>
        </w:rPr>
      </w:pPr>
      <w:r>
        <w:rPr>
          <w:rFonts w:hint="eastAsia" w:ascii="楷体_GB2312" w:hAnsi="楷体_GB2312" w:eastAsia="楷体_GB2312" w:cs="楷体_GB2312"/>
          <w:sz w:val="32"/>
          <w:lang w:val="en-US" w:eastAsia="zh-CN"/>
        </w:rPr>
        <w:t>1.</w:t>
      </w:r>
      <w:r>
        <w:rPr>
          <w:rFonts w:hint="eastAsia" w:ascii="楷体_GB2312" w:hAnsi="楷体_GB2312" w:eastAsia="楷体_GB2312" w:cs="楷体_GB2312"/>
          <w:sz w:val="32"/>
        </w:rPr>
        <w:t>办公室（检察技术信息部）。</w:t>
      </w:r>
      <w:r>
        <w:rPr>
          <w:rFonts w:eastAsia="仿宋_GB2312"/>
          <w:sz w:val="32"/>
        </w:rPr>
        <w:t>负责机关文电、会务、机要、档案、保密等工作。协助院领导处理检察政务，组织协调院重要工作部署、重大决策的贯彻实施。承担综合性绩效考核相关工作。起草审核相关文件文稿，处理检察信息。负责领导同志批办事项督查工作。</w:t>
      </w:r>
      <w:r>
        <w:rPr>
          <w:rFonts w:hint="eastAsia" w:eastAsia="仿宋_GB2312"/>
          <w:sz w:val="32"/>
        </w:rPr>
        <w:t>负责本院计划财务管理、预决算执行、国有资产管理、政府采购等工作。负责本院检察技术、案件信息网络</w:t>
      </w:r>
      <w:r>
        <w:rPr>
          <w:rFonts w:hint="eastAsia" w:ascii="仿宋_GB2312" w:eastAsia="仿宋_GB2312"/>
          <w:sz w:val="32"/>
        </w:rPr>
        <w:t>安全、办案过程中全程同步录音录像等工作</w:t>
      </w:r>
      <w:r>
        <w:rPr>
          <w:rFonts w:hint="eastAsia" w:eastAsia="仿宋_GB2312"/>
          <w:sz w:val="32"/>
        </w:rPr>
        <w:t>。</w:t>
      </w:r>
      <w:r>
        <w:rPr>
          <w:rFonts w:hint="eastAsia" w:eastAsia="仿宋_GB2312"/>
          <w:bCs/>
          <w:sz w:val="32"/>
        </w:rPr>
        <w:t>负责人大代表、政协委员联络工作和特约检察员的联系工作，组织人民监督员工作。</w:t>
      </w:r>
    </w:p>
    <w:p w14:paraId="61701CA2">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hint="eastAsia" w:eastAsia="仿宋_GB2312"/>
          <w:bCs/>
          <w:sz w:val="32"/>
        </w:rPr>
      </w:pPr>
      <w:r>
        <w:rPr>
          <w:rFonts w:hint="eastAsia" w:ascii="楷体_GB2312" w:hAnsi="楷体_GB2312" w:eastAsia="楷体_GB2312" w:cs="楷体_GB2312"/>
          <w:sz w:val="32"/>
          <w:lang w:val="en-US" w:eastAsia="zh-CN"/>
        </w:rPr>
        <w:t>2.</w:t>
      </w:r>
      <w:r>
        <w:rPr>
          <w:rFonts w:hint="eastAsia" w:ascii="楷体_GB2312" w:hAnsi="楷体_GB2312" w:eastAsia="楷体_GB2312" w:cs="楷体_GB2312"/>
          <w:sz w:val="32"/>
        </w:rPr>
        <w:t>政治部（司法警察大队）。</w:t>
      </w:r>
      <w:r>
        <w:rPr>
          <w:rFonts w:hint="eastAsia" w:eastAsia="仿宋_GB2312"/>
          <w:sz w:val="32"/>
        </w:rPr>
        <w:t>负责本院的</w:t>
      </w:r>
      <w:r>
        <w:rPr>
          <w:rFonts w:eastAsia="仿宋_GB2312"/>
          <w:sz w:val="32"/>
        </w:rPr>
        <w:t>思想政治工作、新闻宣传、舆论引导、组织人事</w:t>
      </w:r>
      <w:r>
        <w:rPr>
          <w:rFonts w:hint="eastAsia" w:eastAsia="仿宋_GB2312"/>
          <w:sz w:val="32"/>
        </w:rPr>
        <w:t>、</w:t>
      </w:r>
      <w:r>
        <w:rPr>
          <w:rFonts w:eastAsia="仿宋_GB2312"/>
          <w:sz w:val="32"/>
        </w:rPr>
        <w:t>教育培训</w:t>
      </w:r>
      <w:r>
        <w:rPr>
          <w:rFonts w:hint="eastAsia" w:eastAsia="仿宋_GB2312"/>
          <w:sz w:val="32"/>
        </w:rPr>
        <w:t>、离退休人员工作。负责本院检务督察工作。</w:t>
      </w:r>
      <w:r>
        <w:rPr>
          <w:rFonts w:hint="eastAsia" w:ascii="仿宋_GB2312" w:hAnsi="仿宋_GB2312" w:eastAsia="仿宋_GB2312" w:cs="仿宋_GB2312"/>
          <w:sz w:val="32"/>
        </w:rPr>
        <w:t>负责本院司法警察队伍建设和管理工作，组织司法警察执行办案场所警戒、人员押解和看管等警务事项。</w:t>
      </w:r>
    </w:p>
    <w:p w14:paraId="2DA9BAAF">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仿宋_GB2312"/>
          <w:sz w:val="32"/>
        </w:rPr>
      </w:pPr>
      <w:r>
        <w:rPr>
          <w:rFonts w:hint="eastAsia" w:ascii="楷体_GB2312" w:hAnsi="楷体_GB2312" w:eastAsia="楷体_GB2312" w:cs="楷体_GB2312"/>
          <w:sz w:val="32"/>
          <w:lang w:val="en-US" w:eastAsia="zh-CN"/>
        </w:rPr>
        <w:t>3.</w:t>
      </w:r>
      <w:r>
        <w:rPr>
          <w:rFonts w:hint="eastAsia" w:ascii="楷体_GB2312" w:hAnsi="楷体_GB2312" w:eastAsia="楷体_GB2312" w:cs="楷体_GB2312"/>
          <w:sz w:val="32"/>
        </w:rPr>
        <w:t>第一检察部。</w:t>
      </w:r>
      <w:r>
        <w:rPr>
          <w:rFonts w:hint="eastAsia" w:eastAsia="仿宋_GB2312"/>
          <w:sz w:val="32"/>
        </w:rPr>
        <w:t>负责对法律规定由荣县人民检察院办理的刑事案件的审查逮捕、审查起诉、出庭支持公诉、抗诉，开展相关立案监督、侦查监督、审判监督以及相关案件的补充侦查。负责对法律规定由荣县人民检察院办理的荣县监察委员会移送职务犯罪案件的审查逮捕、审查起诉、出庭支持公诉、抗诉，开展相关审判监督以及相关案件的补充侦查。办理荣县人民检察院管辖的相关刑事申诉案件。</w:t>
      </w:r>
    </w:p>
    <w:p w14:paraId="29606A9B">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仿宋_GB2312"/>
          <w:sz w:val="32"/>
        </w:rPr>
      </w:pPr>
      <w:r>
        <w:rPr>
          <w:rFonts w:hint="eastAsia" w:ascii="楷体_GB2312" w:hAnsi="楷体_GB2312" w:eastAsia="楷体_GB2312" w:cs="楷体_GB2312"/>
          <w:sz w:val="32"/>
          <w:lang w:val="en-US" w:eastAsia="zh-CN"/>
        </w:rPr>
        <w:t>4.</w:t>
      </w:r>
      <w:r>
        <w:rPr>
          <w:rFonts w:hint="eastAsia" w:ascii="楷体_GB2312" w:hAnsi="楷体_GB2312" w:eastAsia="楷体_GB2312" w:cs="楷体_GB2312"/>
          <w:sz w:val="32"/>
        </w:rPr>
        <w:t>第二检察部。</w:t>
      </w:r>
      <w:r>
        <w:rPr>
          <w:rFonts w:eastAsia="仿宋_GB2312"/>
          <w:sz w:val="32"/>
        </w:rPr>
        <w:t>负责对法律规定由荣县人民检察院办理的未成年人犯罪和侵害未成年人犯罪案件的审查逮捕、审查起诉、出庭支持公诉、抗诉，开展相关立案监督、侦查监督、审判监督以及相关案件的补充侦查。开展未成年人司法保护和预防未成年人犯罪工作。</w:t>
      </w:r>
    </w:p>
    <w:p w14:paraId="661A508A">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仿宋_GB2312"/>
          <w:sz w:val="32"/>
        </w:rPr>
      </w:pPr>
      <w:r>
        <w:rPr>
          <w:rFonts w:hint="eastAsia" w:ascii="楷体_GB2312" w:hAnsi="楷体_GB2312" w:eastAsia="楷体_GB2312" w:cs="楷体_GB2312"/>
          <w:sz w:val="32"/>
          <w:lang w:val="en-US" w:eastAsia="zh-CN"/>
        </w:rPr>
        <w:t>5.</w:t>
      </w:r>
      <w:r>
        <w:rPr>
          <w:rFonts w:hint="eastAsia" w:ascii="楷体_GB2312" w:hAnsi="楷体_GB2312" w:eastAsia="楷体_GB2312" w:cs="楷体_GB2312"/>
          <w:sz w:val="32"/>
        </w:rPr>
        <w:t>第三检察部。</w:t>
      </w:r>
      <w:r>
        <w:rPr>
          <w:rFonts w:eastAsia="仿宋_GB2312"/>
          <w:sz w:val="32"/>
        </w:rPr>
        <w:t>负责对看守所和社区矫正机构等执法活动的监督。对刑事判决、裁定执行、强制医疗执行、羁押和办案期限的监督，羁押必要性审查。办理罪犯又犯罪案件。</w:t>
      </w:r>
      <w:r>
        <w:rPr>
          <w:rFonts w:hint="eastAsia" w:eastAsia="仿宋_GB2312"/>
          <w:sz w:val="32"/>
        </w:rPr>
        <w:t>负责对法律规定由荣县人民检察院办理的司法工作人员利用职权实施的非法拘禁、刑讯逼供、非法搜查等侵犯公民权利、损害司法公正犯罪，以及按照刑事诉讼法规定由人民检察院直接受理的其他重大犯罪案件的侦查。</w:t>
      </w:r>
    </w:p>
    <w:p w14:paraId="558E0BF3">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黑体"/>
          <w:sz w:val="32"/>
        </w:rPr>
      </w:pPr>
      <w:r>
        <w:rPr>
          <w:rFonts w:hint="eastAsia" w:ascii="楷体_GB2312" w:hAnsi="楷体_GB2312" w:eastAsia="楷体_GB2312" w:cs="楷体_GB2312"/>
          <w:sz w:val="32"/>
          <w:lang w:val="en-US" w:eastAsia="zh-CN"/>
        </w:rPr>
        <w:t>6.</w:t>
      </w:r>
      <w:r>
        <w:rPr>
          <w:rFonts w:hint="eastAsia" w:ascii="楷体_GB2312" w:hAnsi="楷体_GB2312" w:eastAsia="楷体_GB2312" w:cs="楷体_GB2312"/>
          <w:sz w:val="32"/>
        </w:rPr>
        <w:t>第四检察部。</w:t>
      </w:r>
      <w:r>
        <w:rPr>
          <w:rFonts w:eastAsia="仿宋_GB2312"/>
          <w:sz w:val="32"/>
        </w:rPr>
        <w:t>负责办理向荣县人民检察院申请监督的民事案件的审查、提请抗诉，承办对荣县人民法院民事诉讼活动的法律监督，对审判监督程序以外的其他民事审判程序中审判人员的违法行为提出检察建议</w:t>
      </w:r>
      <w:r>
        <w:rPr>
          <w:rFonts w:hint="eastAsia" w:eastAsia="仿宋_GB2312"/>
          <w:sz w:val="32"/>
        </w:rPr>
        <w:t>，</w:t>
      </w:r>
      <w:r>
        <w:rPr>
          <w:rFonts w:eastAsia="仿宋_GB2312"/>
          <w:sz w:val="32"/>
        </w:rPr>
        <w:t>对民事执行活动实行法律监督。开展民事支持起诉工作。办理荣县人民检察院管辖的民事申诉案件。</w:t>
      </w:r>
    </w:p>
    <w:p w14:paraId="7E440C97">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黑体"/>
          <w:sz w:val="32"/>
        </w:rPr>
      </w:pPr>
      <w:r>
        <w:rPr>
          <w:rFonts w:hint="eastAsia" w:ascii="楷体_GB2312" w:hAnsi="楷体_GB2312" w:eastAsia="楷体_GB2312" w:cs="楷体_GB2312"/>
          <w:sz w:val="32"/>
          <w:lang w:val="en-US" w:eastAsia="zh-CN"/>
        </w:rPr>
        <w:t>7.</w:t>
      </w:r>
      <w:r>
        <w:rPr>
          <w:rFonts w:hint="eastAsia" w:ascii="楷体_GB2312" w:hAnsi="楷体_GB2312" w:eastAsia="楷体_GB2312" w:cs="楷体_GB2312"/>
          <w:sz w:val="32"/>
        </w:rPr>
        <w:t>第五检察部（公益诉讼检察部）。</w:t>
      </w:r>
      <w:r>
        <w:rPr>
          <w:rFonts w:eastAsia="仿宋_GB2312"/>
          <w:sz w:val="32"/>
        </w:rPr>
        <w:t>负责办理向荣县人民检察院申请监督的行政案件的审查、提请抗诉。承办对荣县人民法院行政诉讼活动的法律监督，对审判监督程序以外的其他行政审判程序中审判人员的违法行为提出检察建议，对行政执法活动实行法律监督。负责办理法律规定由荣县人民检察院办理的破坏生态和资源保护、食品药品安全领域侵害众多消费者合法权益等损害社会公共利益的民事公益诉讼案件，生态环境和资源保护、食品药品安全、国有财产保护、国有土地使用权出让等领域的行政公益诉讼案件，侵害英雄烈士姓名、肖像、名誉、荣誉的公益诉讼案件。负责对荣县人民法院开庭审理的公益诉讼案件，派员出席法庭，依照有关规定提出检察建议。办理荣县人民检察院管辖的行政申诉</w:t>
      </w:r>
      <w:r>
        <w:rPr>
          <w:rFonts w:hint="eastAsia" w:eastAsia="仿宋_GB2312"/>
          <w:sz w:val="32"/>
        </w:rPr>
        <w:t>和</w:t>
      </w:r>
      <w:r>
        <w:rPr>
          <w:rFonts w:eastAsia="仿宋_GB2312"/>
          <w:sz w:val="32"/>
        </w:rPr>
        <w:t>公益诉讼申诉案件。</w:t>
      </w:r>
    </w:p>
    <w:p w14:paraId="5DC46F36">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仿宋_GB2312"/>
          <w:sz w:val="32"/>
        </w:rPr>
      </w:pPr>
      <w:r>
        <w:rPr>
          <w:rFonts w:hint="eastAsia" w:ascii="楷体_GB2312" w:hAnsi="楷体_GB2312" w:eastAsia="楷体_GB2312" w:cs="楷体_GB2312"/>
          <w:sz w:val="32"/>
          <w:lang w:val="en-US" w:eastAsia="zh-CN"/>
        </w:rPr>
        <w:t>8.</w:t>
      </w:r>
      <w:r>
        <w:rPr>
          <w:rFonts w:hint="eastAsia" w:ascii="楷体_GB2312" w:hAnsi="楷体_GB2312" w:eastAsia="楷体_GB2312" w:cs="楷体_GB2312"/>
          <w:sz w:val="32"/>
        </w:rPr>
        <w:t>综合业务部。</w:t>
      </w:r>
      <w:r>
        <w:rPr>
          <w:rFonts w:hint="eastAsia" w:eastAsia="仿宋_GB2312"/>
          <w:sz w:val="32"/>
        </w:rPr>
        <w:t>负责受理向荣县人民检察院的控告和申诉。承办荣县人民检察院管辖的国家赔偿案件和国家司法救助案件。负责法律政策研究工作，承担本院检察委员会日常工作。负责案件的统一受理流转、办案流程监控、涉案财物管理、法律文书监管、案件信息公开，统一组织办案质量评查、业务考评和业务统计分析研判等工作。</w:t>
      </w:r>
    </w:p>
    <w:p w14:paraId="6A9A32ED">
      <w:pPr>
        <w:pageBreakBefore w:val="0"/>
        <w:numPr>
          <w:ilvl w:val="0"/>
          <w:numId w:val="0"/>
        </w:numPr>
        <w:kinsoku/>
        <w:wordWrap/>
        <w:overflowPunct/>
        <w:topLinePunct w:val="0"/>
        <w:autoSpaceDE/>
        <w:autoSpaceDN/>
        <w:bidi w:val="0"/>
        <w:spacing w:line="572" w:lineRule="exact"/>
        <w:ind w:firstLine="640" w:firstLineChars="200"/>
        <w:textAlignment w:val="auto"/>
        <w:rPr>
          <w:rFonts w:hint="eastAsia"/>
          <w:lang w:eastAsia="zh-CN"/>
        </w:rPr>
      </w:pPr>
      <w:r>
        <w:rPr>
          <w:rFonts w:hint="eastAsia" w:ascii="仿宋_GB2312" w:eastAsia="仿宋_GB2312"/>
          <w:sz w:val="32"/>
        </w:rPr>
        <w:t>纪检监察机构和机关党委（办），按有关规定设置。</w:t>
      </w:r>
    </w:p>
    <w:p w14:paraId="5121C188">
      <w:pPr>
        <w:pStyle w:val="9"/>
        <w:pageBreakBefore w:val="0"/>
        <w:numPr>
          <w:ilvl w:val="0"/>
          <w:numId w:val="0"/>
        </w:numPr>
        <w:kinsoku/>
        <w:wordWrap/>
        <w:overflowPunct/>
        <w:topLinePunct w:val="0"/>
        <w:autoSpaceDE/>
        <w:autoSpaceDN/>
        <w:bidi w:val="0"/>
        <w:adjustRightInd w:val="0"/>
        <w:snapToGrid w:val="0"/>
        <w:spacing w:before="93" w:line="572" w:lineRule="exact"/>
        <w:textAlignment w:val="auto"/>
        <w:outlineLvl w:val="2"/>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0195CC89">
      <w:pPr>
        <w:pStyle w:val="4"/>
        <w:pageBreakBefore w:val="0"/>
        <w:kinsoku/>
        <w:wordWrap/>
        <w:overflowPunct/>
        <w:topLinePunct w:val="0"/>
        <w:autoSpaceDE/>
        <w:autoSpaceDN/>
        <w:bidi w:val="0"/>
        <w:spacing w:line="572" w:lineRule="exact"/>
        <w:jc w:val="center"/>
        <w:textAlignment w:val="auto"/>
        <w:rPr>
          <w:rFonts w:ascii="Times New Roman" w:hAnsi="Times New Roman"/>
          <w:color w:val="auto"/>
          <w:highlight w:val="none"/>
        </w:rPr>
      </w:pPr>
      <w:bookmarkStart w:id="9" w:name="_Toc15396602"/>
      <w:bookmarkStart w:id="10"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9"/>
      <w:bookmarkEnd w:id="10"/>
    </w:p>
    <w:p w14:paraId="5F10BB7A">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Style w:val="32"/>
          <w:rFonts w:hint="eastAsia" w:ascii="Times New Roman" w:hAnsi="Times New Roman" w:eastAsia="黑体"/>
          <w:b w:val="0"/>
          <w:color w:val="auto"/>
          <w:highlight w:val="none"/>
        </w:rPr>
      </w:pPr>
      <w:bookmarkStart w:id="11" w:name="_Toc15396603"/>
      <w:bookmarkStart w:id="12"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1"/>
      <w:bookmarkEnd w:id="12"/>
    </w:p>
    <w:p w14:paraId="7DB7AA22">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度收、支总计</w:t>
      </w:r>
      <w:r>
        <w:rPr>
          <w:rFonts w:hint="eastAsia" w:ascii="Times New Roman" w:hAnsi="Times New Roman" w:eastAsia="仿宋_GB2312" w:cs="Times New Roman"/>
          <w:color w:val="auto"/>
          <w:sz w:val="32"/>
          <w:szCs w:val="32"/>
          <w:highlight w:val="none"/>
          <w:lang w:val="en-US" w:eastAsia="zh-CN"/>
        </w:rPr>
        <w:t>均为</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Z01表31行3栏</w:t>
      </w:r>
      <w:r>
        <w:rPr>
          <w:rFonts w:hint="eastAsia"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18</w:t>
      </w:r>
      <w:r>
        <w:rPr>
          <w:rFonts w:hint="eastAsia" w:ascii="Times New Roman" w:hAnsi="Times New Roman" w:eastAsia="仿宋_GB2312" w:cs="Times New Roman"/>
          <w:color w:val="auto"/>
          <w:sz w:val="32"/>
          <w:szCs w:val="32"/>
          <w:highlight w:val="none"/>
          <w:lang w:val="en-US" w:eastAsia="zh-CN"/>
        </w:rPr>
        <w:t>54.52</w:t>
      </w:r>
      <w:r>
        <w:rPr>
          <w:rFonts w:hint="default" w:ascii="Times New Roman" w:hAnsi="Times New Roman" w:eastAsia="仿宋_GB2312" w:cs="Times New Roman"/>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eastAsia="zh-CN"/>
        </w:rPr>
        <w:t>减少</w:t>
      </w:r>
      <w:r>
        <w:rPr>
          <w:rFonts w:hint="eastAsia" w:ascii="Times New Roman" w:hAnsi="Times New Roman" w:eastAsia="仿宋_GB2312" w:cs="Times New Roman"/>
          <w:color w:val="auto"/>
          <w:sz w:val="32"/>
          <w:szCs w:val="32"/>
          <w:highlight w:val="none"/>
          <w:lang w:val="en-US" w:eastAsia="zh-CN"/>
        </w:rPr>
        <w:t>24.06</w:t>
      </w:r>
      <w:r>
        <w:rPr>
          <w:rFonts w:hint="default" w:ascii="Times New Roman" w:hAnsi="Times New Roman" w:eastAsia="仿宋_GB2312" w:cs="Times New Roman"/>
          <w:color w:val="auto"/>
          <w:sz w:val="32"/>
          <w:szCs w:val="32"/>
          <w:highlight w:val="none"/>
          <w:lang w:eastAsia="zh-CN"/>
        </w:rPr>
        <w:t>万元，下降</w:t>
      </w:r>
      <w:r>
        <w:rPr>
          <w:rFonts w:hint="eastAsia" w:ascii="Times New Roman" w:hAnsi="Times New Roman" w:eastAsia="仿宋_GB2312" w:cs="Times New Roman"/>
          <w:color w:val="auto"/>
          <w:sz w:val="32"/>
          <w:szCs w:val="32"/>
          <w:highlight w:val="none"/>
          <w:lang w:val="en-US" w:eastAsia="zh-CN"/>
        </w:rPr>
        <w:t>1.28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年我院落实厉行节约政策，</w:t>
      </w:r>
      <w:r>
        <w:rPr>
          <w:rFonts w:hint="eastAsia" w:eastAsia="仿宋_GB2312" w:cs="Times New Roman"/>
          <w:color w:val="auto"/>
          <w:sz w:val="32"/>
          <w:szCs w:val="32"/>
          <w:highlight w:val="none"/>
          <w:lang w:val="en-US" w:eastAsia="zh-CN"/>
        </w:rPr>
        <w:t>严格控制</w:t>
      </w:r>
      <w:r>
        <w:rPr>
          <w:rFonts w:hint="default" w:ascii="Times New Roman" w:hAnsi="Times New Roman" w:eastAsia="仿宋_GB2312" w:cs="Times New Roman"/>
          <w:color w:val="auto"/>
          <w:sz w:val="32"/>
          <w:szCs w:val="32"/>
          <w:highlight w:val="none"/>
          <w:lang w:val="en-US" w:eastAsia="zh-CN"/>
        </w:rPr>
        <w:t>“三公”经费和</w:t>
      </w:r>
      <w:r>
        <w:rPr>
          <w:rFonts w:hint="eastAsia" w:eastAsia="仿宋_GB2312" w:cs="Times New Roman"/>
          <w:color w:val="auto"/>
          <w:sz w:val="32"/>
          <w:szCs w:val="32"/>
          <w:highlight w:val="none"/>
          <w:lang w:val="en-US" w:eastAsia="zh-CN"/>
        </w:rPr>
        <w:t>办公经费</w:t>
      </w:r>
      <w:r>
        <w:rPr>
          <w:rFonts w:hint="default" w:ascii="Times New Roman" w:hAnsi="Times New Roman" w:eastAsia="仿宋_GB2312" w:cs="Times New Roman"/>
          <w:color w:val="auto"/>
          <w:sz w:val="32"/>
          <w:szCs w:val="32"/>
          <w:highlight w:val="none"/>
          <w:lang w:val="en-US" w:eastAsia="zh-CN"/>
        </w:rPr>
        <w:t>支出。</w:t>
      </w:r>
    </w:p>
    <w:p w14:paraId="0999F6B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lang w:eastAsia="zh-CN"/>
        </w:rPr>
        <w:drawing>
          <wp:anchor distT="0" distB="0" distL="114300" distR="114300" simplePos="0" relativeHeight="251660288" behindDoc="0" locked="0" layoutInCell="1" allowOverlap="1">
            <wp:simplePos x="0" y="0"/>
            <wp:positionH relativeFrom="column">
              <wp:posOffset>76200</wp:posOffset>
            </wp:positionH>
            <wp:positionV relativeFrom="paragraph">
              <wp:posOffset>154305</wp:posOffset>
            </wp:positionV>
            <wp:extent cx="5256530" cy="3130550"/>
            <wp:effectExtent l="4445" t="4445" r="15875" b="65405"/>
            <wp:wrapNone/>
            <wp:docPr id="8" name="图表 8"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8ED8DA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17CF809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62C0869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11A158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5DA10AE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085ACF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BDE41B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675EBE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E02EDC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6F2F33C8">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Times New Roman" w:hAnsi="Times New Roman" w:eastAsia="仿宋_GB2312" w:cs="仿宋_GB2312"/>
          <w:color w:val="auto"/>
          <w:sz w:val="32"/>
          <w:szCs w:val="32"/>
          <w:highlight w:val="none"/>
        </w:rPr>
      </w:pPr>
    </w:p>
    <w:p w14:paraId="3D2DA141">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3" w:name="_Toc15377206"/>
      <w:bookmarkStart w:id="14" w:name="_Toc15396604"/>
      <w:r>
        <w:rPr>
          <w:rFonts w:hint="eastAsia" w:ascii="Times New Roman" w:hAnsi="Times New Roman" w:eastAsia="黑体"/>
          <w:color w:val="auto"/>
          <w:sz w:val="32"/>
          <w:szCs w:val="32"/>
          <w:highlight w:val="none"/>
          <w:lang w:eastAsia="zh-CN"/>
        </w:rPr>
        <w:t>二、收入决算情况说明</w:t>
      </w:r>
      <w:bookmarkEnd w:id="13"/>
      <w:bookmarkEnd w:id="14"/>
    </w:p>
    <w:p w14:paraId="418889C4">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2024年度本年收入合计（Z01表</w:t>
      </w:r>
      <w:r>
        <w:rPr>
          <w:rFonts w:hint="eastAsia"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lang w:eastAsia="zh-CN"/>
        </w:rPr>
        <w:t>行3栏）</w:t>
      </w:r>
      <w:r>
        <w:rPr>
          <w:rFonts w:hint="eastAsia" w:eastAsia="仿宋_GB2312" w:cs="仿宋_GB2312"/>
          <w:color w:val="auto"/>
          <w:sz w:val="32"/>
          <w:szCs w:val="32"/>
          <w:highlight w:val="none"/>
          <w:lang w:val="en-US" w:eastAsia="zh-CN"/>
        </w:rPr>
        <w:t>1816.68</w:t>
      </w:r>
      <w:r>
        <w:rPr>
          <w:rFonts w:hint="eastAsia" w:ascii="Times New Roman" w:hAnsi="Times New Roman" w:eastAsia="仿宋_GB2312" w:cs="仿宋_GB2312"/>
          <w:color w:val="auto"/>
          <w:sz w:val="32"/>
          <w:szCs w:val="32"/>
          <w:highlight w:val="none"/>
          <w:lang w:eastAsia="zh-CN"/>
        </w:rPr>
        <w:t>万元，其中：一般公共预算财政拨款收入（Z01表1行3栏）</w:t>
      </w:r>
      <w:r>
        <w:rPr>
          <w:rFonts w:hint="eastAsia" w:eastAsia="仿宋_GB2312" w:cs="仿宋_GB2312"/>
          <w:color w:val="auto"/>
          <w:sz w:val="32"/>
          <w:szCs w:val="32"/>
          <w:highlight w:val="none"/>
          <w:lang w:val="en-US" w:eastAsia="zh-CN"/>
        </w:rPr>
        <w:t>1472.64</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81.06</w:t>
      </w:r>
      <w:r>
        <w:rPr>
          <w:rFonts w:hint="eastAsia" w:ascii="Times New Roman" w:hAnsi="Times New Roman" w:eastAsia="仿宋_GB2312" w:cs="仿宋_GB2312"/>
          <w:color w:val="auto"/>
          <w:sz w:val="32"/>
          <w:szCs w:val="32"/>
          <w:highlight w:val="none"/>
          <w:lang w:eastAsia="zh-CN"/>
        </w:rPr>
        <w:t>%；其他收入（Z01表</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eastAsia="zh-CN"/>
        </w:rPr>
        <w:t>行3栏）</w:t>
      </w:r>
      <w:r>
        <w:rPr>
          <w:rFonts w:hint="eastAsia" w:eastAsia="仿宋_GB2312" w:cs="仿宋_GB2312"/>
          <w:color w:val="auto"/>
          <w:sz w:val="32"/>
          <w:szCs w:val="32"/>
          <w:highlight w:val="none"/>
          <w:lang w:val="en-US" w:eastAsia="zh-CN"/>
        </w:rPr>
        <w:t>344.03</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18.94</w:t>
      </w:r>
      <w:r>
        <w:rPr>
          <w:rFonts w:hint="eastAsia" w:ascii="Times New Roman" w:hAnsi="Times New Roman" w:eastAsia="仿宋_GB2312" w:cs="仿宋_GB2312"/>
          <w:color w:val="auto"/>
          <w:sz w:val="32"/>
          <w:szCs w:val="32"/>
          <w:highlight w:val="none"/>
          <w:lang w:eastAsia="zh-CN"/>
        </w:rPr>
        <w:t>%。</w:t>
      </w:r>
    </w:p>
    <w:p w14:paraId="02717C0C">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44D6952F">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104775</wp:posOffset>
            </wp:positionH>
            <wp:positionV relativeFrom="paragraph">
              <wp:posOffset>118110</wp:posOffset>
            </wp:positionV>
            <wp:extent cx="5190490" cy="2826385"/>
            <wp:effectExtent l="4445" t="4445" r="5715" b="7620"/>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8C2C6BA">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5A85FB3E">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22C4E540">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412FFFEE">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0C7654CE">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7FE37F5D">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7A1DB026">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textAlignment w:val="auto"/>
        <w:outlineLvl w:val="1"/>
        <w:rPr>
          <w:rFonts w:hint="eastAsia" w:ascii="Times New Roman" w:hAnsi="Times New Roman" w:eastAsia="仿宋_GB2312" w:cs="仿宋_GB2312"/>
          <w:color w:val="auto"/>
          <w:sz w:val="32"/>
          <w:szCs w:val="32"/>
          <w:highlight w:val="none"/>
          <w:lang w:eastAsia="zh-CN"/>
        </w:rPr>
      </w:pPr>
    </w:p>
    <w:p w14:paraId="2CD75BA0">
      <w:pPr>
        <w:pageBreakBefore w:val="0"/>
        <w:kinsoku/>
        <w:wordWrap/>
        <w:overflowPunct/>
        <w:topLinePunct w:val="0"/>
        <w:autoSpaceDE/>
        <w:autoSpaceDN/>
        <w:bidi w:val="0"/>
        <w:spacing w:line="572" w:lineRule="exact"/>
        <w:ind w:firstLine="800" w:firstLineChars="25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503DBC19">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Style w:val="32"/>
          <w:rFonts w:hint="eastAsia" w:ascii="Times New Roman" w:hAnsi="Times New Roman" w:eastAsia="黑体"/>
          <w:b w:val="0"/>
          <w:color w:val="auto"/>
          <w:highlight w:val="none"/>
        </w:rPr>
      </w:pPr>
      <w:bookmarkStart w:id="15" w:name="_Toc15377207"/>
      <w:bookmarkStart w:id="16"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15"/>
      <w:bookmarkEnd w:id="16"/>
    </w:p>
    <w:p w14:paraId="4C7F159D">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2024年度本年支出合计（Z01表8</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行9栏）</w:t>
      </w:r>
      <w:r>
        <w:rPr>
          <w:rFonts w:hint="eastAsia" w:eastAsia="仿宋_GB2312" w:cs="仿宋_GB2312"/>
          <w:color w:val="auto"/>
          <w:sz w:val="32"/>
          <w:szCs w:val="32"/>
          <w:highlight w:val="none"/>
          <w:lang w:val="en-US" w:eastAsia="zh-CN"/>
        </w:rPr>
        <w:t>1824.81</w:t>
      </w:r>
      <w:r>
        <w:rPr>
          <w:rFonts w:hint="eastAsia" w:ascii="Times New Roman" w:hAnsi="Times New Roman" w:eastAsia="仿宋_GB2312" w:cs="仿宋_GB2312"/>
          <w:color w:val="auto"/>
          <w:sz w:val="32"/>
          <w:szCs w:val="32"/>
          <w:highlight w:val="none"/>
          <w:lang w:eastAsia="zh-CN"/>
        </w:rPr>
        <w:t>万元，其中：基本支出（Z01表</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8行9栏）</w:t>
      </w:r>
      <w:r>
        <w:rPr>
          <w:rFonts w:hint="eastAsia" w:eastAsia="仿宋_GB2312" w:cs="仿宋_GB2312"/>
          <w:color w:val="auto"/>
          <w:sz w:val="32"/>
          <w:szCs w:val="32"/>
          <w:highlight w:val="none"/>
          <w:lang w:val="en-US" w:eastAsia="zh-CN"/>
        </w:rPr>
        <w:t>1368.96</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75.02</w:t>
      </w:r>
      <w:r>
        <w:rPr>
          <w:rFonts w:hint="eastAsia" w:ascii="Times New Roman" w:hAnsi="Times New Roman" w:eastAsia="仿宋_GB2312" w:cs="仿宋_GB2312"/>
          <w:color w:val="auto"/>
          <w:sz w:val="32"/>
          <w:szCs w:val="32"/>
          <w:highlight w:val="none"/>
          <w:lang w:eastAsia="zh-CN"/>
        </w:rPr>
        <w:t>%；项目支出（Z01表</w:t>
      </w:r>
      <w:r>
        <w:rPr>
          <w:rFonts w:hint="eastAsia" w:eastAsia="仿宋_GB2312" w:cs="仿宋_GB2312"/>
          <w:color w:val="auto"/>
          <w:sz w:val="32"/>
          <w:szCs w:val="32"/>
          <w:highlight w:val="none"/>
          <w:lang w:val="en-US" w:eastAsia="zh-CN"/>
        </w:rPr>
        <w:t>61</w:t>
      </w:r>
      <w:r>
        <w:rPr>
          <w:rFonts w:hint="eastAsia" w:ascii="Times New Roman" w:hAnsi="Times New Roman" w:eastAsia="仿宋_GB2312" w:cs="仿宋_GB2312"/>
          <w:color w:val="auto"/>
          <w:sz w:val="32"/>
          <w:szCs w:val="32"/>
          <w:highlight w:val="none"/>
          <w:lang w:eastAsia="zh-CN"/>
        </w:rPr>
        <w:t>行9栏）</w:t>
      </w:r>
      <w:r>
        <w:rPr>
          <w:rFonts w:hint="eastAsia" w:eastAsia="仿宋_GB2312" w:cs="仿宋_GB2312"/>
          <w:color w:val="auto"/>
          <w:sz w:val="32"/>
          <w:szCs w:val="32"/>
          <w:highlight w:val="none"/>
          <w:lang w:val="en-US" w:eastAsia="zh-CN"/>
        </w:rPr>
        <w:t>455.85</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24.98</w:t>
      </w:r>
      <w:r>
        <w:rPr>
          <w:rFonts w:hint="eastAsia" w:ascii="Times New Roman" w:hAnsi="Times New Roman" w:eastAsia="仿宋_GB2312" w:cs="仿宋_GB2312"/>
          <w:color w:val="auto"/>
          <w:sz w:val="32"/>
          <w:szCs w:val="32"/>
          <w:highlight w:val="none"/>
          <w:lang w:eastAsia="zh-CN"/>
        </w:rPr>
        <w:t>%。</w:t>
      </w:r>
    </w:p>
    <w:p w14:paraId="3424C655">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lang w:eastAsia="zh-CN"/>
        </w:rPr>
        <w:drawing>
          <wp:anchor distT="0" distB="0" distL="114300" distR="114300" simplePos="0" relativeHeight="251664384" behindDoc="0" locked="0" layoutInCell="1" allowOverlap="1">
            <wp:simplePos x="0" y="0"/>
            <wp:positionH relativeFrom="column">
              <wp:posOffset>76200</wp:posOffset>
            </wp:positionH>
            <wp:positionV relativeFrom="paragraph">
              <wp:posOffset>258445</wp:posOffset>
            </wp:positionV>
            <wp:extent cx="5104765" cy="2903855"/>
            <wp:effectExtent l="4445" t="4445" r="15240" b="6350"/>
            <wp:wrapNone/>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A4313D0">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29939464">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3895085B">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41ABA818">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51AAEB6D">
      <w:pPr>
        <w:pageBreakBefore w:val="0"/>
        <w:kinsoku/>
        <w:wordWrap/>
        <w:overflowPunct/>
        <w:topLinePunct w:val="0"/>
        <w:autoSpaceDE/>
        <w:autoSpaceDN/>
        <w:bidi w:val="0"/>
        <w:spacing w:line="572"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7E9435FE">
      <w:pPr>
        <w:pageBreakBefore w:val="0"/>
        <w:kinsoku/>
        <w:wordWrap/>
        <w:overflowPunct/>
        <w:topLinePunct w:val="0"/>
        <w:autoSpaceDE/>
        <w:autoSpaceDN/>
        <w:bidi w:val="0"/>
        <w:spacing w:line="572"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54DF3684">
      <w:pPr>
        <w:pageBreakBefore w:val="0"/>
        <w:kinsoku/>
        <w:wordWrap/>
        <w:overflowPunct/>
        <w:topLinePunct w:val="0"/>
        <w:autoSpaceDE/>
        <w:autoSpaceDN/>
        <w:bidi w:val="0"/>
        <w:spacing w:line="572" w:lineRule="exact"/>
        <w:ind w:firstLine="800" w:firstLineChars="250"/>
        <w:jc w:val="center"/>
        <w:textAlignment w:val="auto"/>
        <w:rPr>
          <w:rFonts w:hint="eastAsia" w:ascii="Times New Roman" w:hAnsi="Times New Roman" w:eastAsia="仿宋_GB2312" w:cs="仿宋_GB2312"/>
          <w:color w:val="auto"/>
          <w:sz w:val="32"/>
          <w:szCs w:val="32"/>
          <w:highlight w:val="none"/>
          <w:lang w:eastAsia="zh-CN"/>
        </w:rPr>
      </w:pPr>
    </w:p>
    <w:p w14:paraId="757793AB">
      <w:pPr>
        <w:pageBreakBefore w:val="0"/>
        <w:kinsoku/>
        <w:wordWrap/>
        <w:overflowPunct/>
        <w:topLinePunct w:val="0"/>
        <w:autoSpaceDE/>
        <w:autoSpaceDN/>
        <w:bidi w:val="0"/>
        <w:spacing w:line="572" w:lineRule="exact"/>
        <w:ind w:firstLine="800" w:firstLineChars="250"/>
        <w:jc w:val="center"/>
        <w:textAlignment w:val="auto"/>
        <w:rPr>
          <w:rFonts w:hint="eastAsia" w:ascii="Times New Roman" w:hAnsi="Times New Roman" w:eastAsia="仿宋_GB2312" w:cs="仿宋_GB2312"/>
          <w:color w:val="auto"/>
          <w:sz w:val="32"/>
          <w:szCs w:val="32"/>
          <w:highlight w:val="none"/>
          <w:lang w:eastAsia="zh-CN"/>
        </w:rPr>
      </w:pPr>
    </w:p>
    <w:p w14:paraId="654D65BA">
      <w:pPr>
        <w:pageBreakBefore w:val="0"/>
        <w:kinsoku/>
        <w:wordWrap/>
        <w:overflowPunct/>
        <w:topLinePunct w:val="0"/>
        <w:autoSpaceDE/>
        <w:autoSpaceDN/>
        <w:bidi w:val="0"/>
        <w:spacing w:line="572" w:lineRule="exact"/>
        <w:ind w:firstLine="800" w:firstLineChars="25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6E397B2C">
      <w:pPr>
        <w:pageBreakBefore w:val="0"/>
        <w:kinsoku/>
        <w:wordWrap/>
        <w:overflowPunct/>
        <w:topLinePunct w:val="0"/>
        <w:autoSpaceDE/>
        <w:autoSpaceDN/>
        <w:bidi w:val="0"/>
        <w:spacing w:line="572"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7EDD6F50">
      <w:pPr>
        <w:pageBreakBefore w:val="0"/>
        <w:kinsoku/>
        <w:wordWrap/>
        <w:overflowPunct/>
        <w:topLinePunct w:val="0"/>
        <w:autoSpaceDE/>
        <w:autoSpaceDN/>
        <w:bidi w:val="0"/>
        <w:spacing w:line="572" w:lineRule="exact"/>
        <w:ind w:firstLine="640" w:firstLineChars="200"/>
        <w:textAlignment w:val="auto"/>
        <w:outlineLvl w:val="1"/>
        <w:rPr>
          <w:rStyle w:val="32"/>
          <w:rFonts w:ascii="Times New Roman" w:hAnsi="Times New Roman" w:eastAsia="黑体"/>
          <w:b w:val="0"/>
          <w:color w:val="auto"/>
          <w:highlight w:val="none"/>
        </w:rPr>
      </w:pPr>
      <w:bookmarkStart w:id="17" w:name="_Toc15396606"/>
      <w:bookmarkStart w:id="18"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17"/>
      <w:bookmarkEnd w:id="18"/>
    </w:p>
    <w:p w14:paraId="348558D7">
      <w:pPr>
        <w:pageBreakBefore w:val="0"/>
        <w:kinsoku/>
        <w:wordWrap/>
        <w:overflowPunct/>
        <w:topLinePunct w:val="0"/>
        <w:autoSpaceDE/>
        <w:autoSpaceDN/>
        <w:bidi w:val="0"/>
        <w:spacing w:line="572"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2024年度财政拨款收入、支出总计均为（Z01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1472.64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190.61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14.87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我院2024年新招录5名公务员，人员经费有所增加；同时我院新购置两辆执法执勤用车和部分检察技术办案设备，项目经费有所增加。</w:t>
      </w:r>
    </w:p>
    <w:p w14:paraId="0A39229B">
      <w:pPr>
        <w:pStyle w:val="7"/>
        <w:rPr>
          <w:rFonts w:hint="default"/>
          <w:lang w:val="en-US" w:eastAsia="zh-CN"/>
        </w:rPr>
      </w:pPr>
      <w:r>
        <w:rPr>
          <w:rFonts w:hint="eastAsia" w:ascii="仿宋" w:hAnsi="仿宋" w:eastAsia="仿宋"/>
          <w:b/>
          <w:color w:val="FF0000"/>
          <w:sz w:val="32"/>
          <w:szCs w:val="32"/>
          <w:lang w:eastAsia="zh-CN"/>
        </w:rPr>
        <w:drawing>
          <wp:anchor distT="0" distB="0" distL="114300" distR="114300" simplePos="0" relativeHeight="251665408" behindDoc="0" locked="0" layoutInCell="1" allowOverlap="1">
            <wp:simplePos x="0" y="0"/>
            <wp:positionH relativeFrom="column">
              <wp:posOffset>114300</wp:posOffset>
            </wp:positionH>
            <wp:positionV relativeFrom="paragraph">
              <wp:posOffset>99695</wp:posOffset>
            </wp:positionV>
            <wp:extent cx="5190490" cy="2627630"/>
            <wp:effectExtent l="4445" t="4445" r="5715" b="15875"/>
            <wp:wrapNone/>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CE7C471">
      <w:pPr>
        <w:pStyle w:val="7"/>
        <w:rPr>
          <w:rFonts w:hint="default"/>
          <w:lang w:val="en-US" w:eastAsia="zh-CN"/>
        </w:rPr>
      </w:pPr>
    </w:p>
    <w:p w14:paraId="574F3848">
      <w:pPr>
        <w:pStyle w:val="7"/>
        <w:rPr>
          <w:rFonts w:hint="default"/>
          <w:lang w:val="en-US" w:eastAsia="zh-CN"/>
        </w:rPr>
      </w:pPr>
    </w:p>
    <w:p w14:paraId="2E256270">
      <w:pPr>
        <w:pStyle w:val="7"/>
        <w:rPr>
          <w:rFonts w:hint="default"/>
          <w:lang w:val="en-US" w:eastAsia="zh-CN"/>
        </w:rPr>
      </w:pPr>
    </w:p>
    <w:p w14:paraId="4800FD5A">
      <w:pPr>
        <w:pStyle w:val="7"/>
        <w:rPr>
          <w:rFonts w:hint="default"/>
          <w:lang w:val="en-US" w:eastAsia="zh-CN"/>
        </w:rPr>
      </w:pPr>
    </w:p>
    <w:p w14:paraId="315F2460">
      <w:pPr>
        <w:pageBreakBefore w:val="0"/>
        <w:kinsoku/>
        <w:wordWrap/>
        <w:overflowPunct/>
        <w:topLinePunct w:val="0"/>
        <w:autoSpaceDE/>
        <w:autoSpaceDN/>
        <w:bidi w:val="0"/>
        <w:spacing w:line="572"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3BDC0500">
      <w:pPr>
        <w:pageBreakBefore w:val="0"/>
        <w:kinsoku/>
        <w:wordWrap/>
        <w:overflowPunct/>
        <w:topLinePunct w:val="0"/>
        <w:autoSpaceDE/>
        <w:autoSpaceDN/>
        <w:bidi w:val="0"/>
        <w:spacing w:line="572"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18937E8D">
      <w:pPr>
        <w:pageBreakBefore w:val="0"/>
        <w:kinsoku/>
        <w:wordWrap/>
        <w:overflowPunct/>
        <w:topLinePunct w:val="0"/>
        <w:autoSpaceDE/>
        <w:autoSpaceDN/>
        <w:bidi w:val="0"/>
        <w:spacing w:line="572" w:lineRule="exact"/>
        <w:ind w:firstLine="640" w:firstLineChars="200"/>
        <w:jc w:val="center"/>
        <w:textAlignment w:val="auto"/>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bookmarkStart w:id="19" w:name="_Toc15396607"/>
      <w:bookmarkStart w:id="20" w:name="_Toc15377209"/>
    </w:p>
    <w:p w14:paraId="64E87DEA">
      <w:pPr>
        <w:pageBreakBefore w:val="0"/>
        <w:kinsoku/>
        <w:wordWrap/>
        <w:overflowPunct/>
        <w:topLinePunct w:val="0"/>
        <w:autoSpaceDE/>
        <w:autoSpaceDN/>
        <w:bidi w:val="0"/>
        <w:spacing w:line="572" w:lineRule="exact"/>
        <w:ind w:firstLine="640" w:firstLineChars="200"/>
        <w:textAlignment w:val="auto"/>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19"/>
      <w:bookmarkEnd w:id="20"/>
    </w:p>
    <w:p w14:paraId="06FD2192">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2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1"/>
    </w:p>
    <w:p w14:paraId="012FD72B">
      <w:pPr>
        <w:pageBreakBefore w:val="0"/>
        <w:kinsoku/>
        <w:wordWrap/>
        <w:overflowPunct/>
        <w:topLinePunct w:val="0"/>
        <w:autoSpaceDE/>
        <w:autoSpaceDN/>
        <w:bidi w:val="0"/>
        <w:spacing w:line="572"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2024年度一般公共预算财政拨款支出（Z</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1472.64</w:t>
      </w:r>
      <w:r>
        <w:rPr>
          <w:rFonts w:hint="eastAsia" w:ascii="Times New Roman" w:hAnsi="Times New Roman" w:eastAsia="仿宋_GB2312" w:cs="仿宋_GB2312"/>
          <w:color w:val="auto"/>
          <w:kern w:val="2"/>
          <w:sz w:val="32"/>
          <w:szCs w:val="32"/>
          <w:highlight w:val="none"/>
          <w:lang w:val="en-US" w:eastAsia="zh-CN" w:bidi="ar-SA"/>
        </w:rPr>
        <w:t>万元，占本年支出合计的（Z</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Z01表84行9栏）</w:t>
      </w:r>
      <w:r>
        <w:rPr>
          <w:rFonts w:hint="eastAsia" w:eastAsia="仿宋_GB2312" w:cs="仿宋_GB2312"/>
          <w:color w:val="auto"/>
          <w:kern w:val="2"/>
          <w:sz w:val="32"/>
          <w:szCs w:val="32"/>
          <w:highlight w:val="none"/>
          <w:lang w:val="en-US" w:eastAsia="zh-CN" w:bidi="ar-SA"/>
        </w:rPr>
        <w:t>80.70</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190.61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14.87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我院2024年新招录5名公务员，人员经费有所增加；同时我院新更新换代两辆警车和部分检察技术办案设备，项目经费有所增加。</w:t>
      </w:r>
    </w:p>
    <w:p w14:paraId="12E7EF19">
      <w:pPr>
        <w:pStyle w:val="7"/>
        <w:rPr>
          <w:rFonts w:hint="eastAsia" w:eastAsia="仿宋_GB2312" w:cs="仿宋_GB2312"/>
          <w:color w:val="auto"/>
          <w:kern w:val="2"/>
          <w:sz w:val="32"/>
          <w:szCs w:val="32"/>
          <w:highlight w:val="none"/>
          <w:lang w:val="en-US" w:eastAsia="zh-CN" w:bidi="ar-SA"/>
        </w:rPr>
      </w:pPr>
    </w:p>
    <w:p w14:paraId="02241C15">
      <w:pPr>
        <w:pStyle w:val="7"/>
        <w:rPr>
          <w:rFonts w:hint="eastAsia" w:eastAsia="仿宋_GB2312" w:cs="仿宋_GB2312"/>
          <w:color w:val="auto"/>
          <w:kern w:val="2"/>
          <w:sz w:val="32"/>
          <w:szCs w:val="32"/>
          <w:highlight w:val="none"/>
          <w:lang w:val="en-US" w:eastAsia="zh-CN" w:bidi="ar-SA"/>
        </w:rPr>
      </w:pPr>
      <w:r>
        <w:rPr>
          <w:rFonts w:hint="eastAsia" w:ascii="仿宋" w:hAnsi="仿宋" w:eastAsia="仿宋"/>
          <w:b/>
          <w:color w:val="FF0000"/>
          <w:sz w:val="32"/>
          <w:szCs w:val="32"/>
          <w:lang w:eastAsia="zh-CN"/>
        </w:rPr>
        <w:drawing>
          <wp:anchor distT="0" distB="0" distL="114300" distR="114300" simplePos="0" relativeHeight="251666432" behindDoc="0" locked="0" layoutInCell="1" allowOverlap="1">
            <wp:simplePos x="0" y="0"/>
            <wp:positionH relativeFrom="column">
              <wp:posOffset>143510</wp:posOffset>
            </wp:positionH>
            <wp:positionV relativeFrom="paragraph">
              <wp:posOffset>64770</wp:posOffset>
            </wp:positionV>
            <wp:extent cx="5055235" cy="2686050"/>
            <wp:effectExtent l="4445" t="4445" r="7620" b="14605"/>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B423114">
      <w:pPr>
        <w:rPr>
          <w:rFonts w:hint="eastAsia" w:eastAsia="仿宋_GB2312" w:cs="仿宋_GB2312"/>
          <w:color w:val="auto"/>
          <w:kern w:val="2"/>
          <w:sz w:val="32"/>
          <w:szCs w:val="32"/>
          <w:highlight w:val="none"/>
          <w:lang w:val="en-US" w:eastAsia="zh-CN" w:bidi="ar-SA"/>
        </w:rPr>
      </w:pPr>
    </w:p>
    <w:p w14:paraId="7B285A94">
      <w:pPr>
        <w:pStyle w:val="7"/>
        <w:rPr>
          <w:rFonts w:hint="eastAsia" w:eastAsia="仿宋_GB2312" w:cs="仿宋_GB2312"/>
          <w:color w:val="auto"/>
          <w:kern w:val="2"/>
          <w:sz w:val="32"/>
          <w:szCs w:val="32"/>
          <w:highlight w:val="none"/>
          <w:lang w:val="en-US" w:eastAsia="zh-CN" w:bidi="ar-SA"/>
        </w:rPr>
      </w:pPr>
    </w:p>
    <w:p w14:paraId="6935ADB7">
      <w:pPr>
        <w:rPr>
          <w:rFonts w:hint="eastAsia" w:eastAsia="仿宋_GB2312" w:cs="仿宋_GB2312"/>
          <w:color w:val="auto"/>
          <w:kern w:val="2"/>
          <w:sz w:val="32"/>
          <w:szCs w:val="32"/>
          <w:highlight w:val="none"/>
          <w:lang w:val="en-US" w:eastAsia="zh-CN" w:bidi="ar-SA"/>
        </w:rPr>
      </w:pPr>
    </w:p>
    <w:p w14:paraId="687DBCAC">
      <w:pPr>
        <w:pStyle w:val="7"/>
        <w:rPr>
          <w:rFonts w:hint="eastAsia"/>
          <w:lang w:val="en-US" w:eastAsia="zh-CN"/>
        </w:rPr>
      </w:pPr>
    </w:p>
    <w:p w14:paraId="79D8C20C">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CF1D6EF">
      <w:pPr>
        <w:pageBreakBefore w:val="0"/>
        <w:kinsoku/>
        <w:wordWrap/>
        <w:overflowPunct/>
        <w:topLinePunct w:val="0"/>
        <w:autoSpaceDE/>
        <w:autoSpaceDN/>
        <w:bidi w:val="0"/>
        <w:spacing w:line="572" w:lineRule="exact"/>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449129BE">
      <w:pPr>
        <w:pageBreakBefore w:val="0"/>
        <w:kinsoku/>
        <w:wordWrap/>
        <w:overflowPunct/>
        <w:topLinePunct w:val="0"/>
        <w:autoSpaceDE/>
        <w:autoSpaceDN/>
        <w:bidi w:val="0"/>
        <w:spacing w:line="572" w:lineRule="exact"/>
        <w:jc w:val="center"/>
        <w:textAlignment w:val="auto"/>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bookmarkStart w:id="22" w:name="_Toc15377211"/>
    </w:p>
    <w:p w14:paraId="6C0B445C">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2"/>
    </w:p>
    <w:p w14:paraId="1132BA42">
      <w:pPr>
        <w:pageBreakBefore w:val="0"/>
        <w:kinsoku/>
        <w:wordWrap/>
        <w:overflowPunct/>
        <w:topLinePunct w:val="0"/>
        <w:autoSpaceDE/>
        <w:autoSpaceDN/>
        <w:bidi w:val="0"/>
        <w:spacing w:line="572"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2024年度一般公共预算财政拨款支出（Z08表1栏）</w:t>
      </w:r>
      <w:r>
        <w:rPr>
          <w:rFonts w:hint="eastAsia" w:eastAsia="仿宋_GB2312" w:cs="仿宋_GB2312"/>
          <w:color w:val="auto"/>
          <w:kern w:val="2"/>
          <w:sz w:val="32"/>
          <w:szCs w:val="32"/>
          <w:highlight w:val="none"/>
          <w:lang w:val="en-US" w:eastAsia="zh-CN" w:bidi="ar-SA"/>
        </w:rPr>
        <w:t>1472.64</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：公共安全</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1222.79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83.03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99.70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6.77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59.81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4.06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90.35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C64398C">
      <w:pPr>
        <w:pStyle w:val="7"/>
        <w:rPr>
          <w:rFonts w:hint="eastAsia" w:eastAsia="仿宋_GB2312" w:cs="仿宋_GB2312"/>
          <w:color w:val="auto"/>
          <w:kern w:val="2"/>
          <w:sz w:val="32"/>
          <w:szCs w:val="32"/>
          <w:highlight w:val="none"/>
          <w:lang w:val="en-US" w:eastAsia="zh-CN" w:bidi="ar-SA"/>
        </w:rPr>
      </w:pPr>
      <w:r>
        <w:rPr>
          <w:rFonts w:hint="eastAsia" w:ascii="仿宋" w:hAnsi="仿宋" w:eastAsia="仿宋"/>
          <w:color w:val="000000"/>
          <w:sz w:val="32"/>
          <w:szCs w:val="32"/>
          <w:lang w:eastAsia="zh-CN"/>
        </w:rPr>
        <w:drawing>
          <wp:anchor distT="0" distB="0" distL="114300" distR="114300" simplePos="0" relativeHeight="251667456" behindDoc="0" locked="0" layoutInCell="1" allowOverlap="1">
            <wp:simplePos x="0" y="0"/>
            <wp:positionH relativeFrom="column">
              <wp:posOffset>381000</wp:posOffset>
            </wp:positionH>
            <wp:positionV relativeFrom="paragraph">
              <wp:posOffset>60960</wp:posOffset>
            </wp:positionV>
            <wp:extent cx="4780280" cy="2416175"/>
            <wp:effectExtent l="4445" t="5080" r="15875" b="17145"/>
            <wp:wrapNone/>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439DDEF">
      <w:pPr>
        <w:rPr>
          <w:rFonts w:hint="eastAsia" w:eastAsia="仿宋_GB2312" w:cs="仿宋_GB2312"/>
          <w:color w:val="auto"/>
          <w:kern w:val="2"/>
          <w:sz w:val="32"/>
          <w:szCs w:val="32"/>
          <w:highlight w:val="none"/>
          <w:lang w:val="en-US" w:eastAsia="zh-CN" w:bidi="ar-SA"/>
        </w:rPr>
      </w:pPr>
    </w:p>
    <w:p w14:paraId="1A5A3A5C">
      <w:pPr>
        <w:pStyle w:val="7"/>
        <w:rPr>
          <w:rFonts w:hint="eastAsia" w:eastAsia="仿宋_GB2312" w:cs="仿宋_GB2312"/>
          <w:color w:val="auto"/>
          <w:kern w:val="2"/>
          <w:sz w:val="32"/>
          <w:szCs w:val="32"/>
          <w:highlight w:val="none"/>
          <w:lang w:val="en-US" w:eastAsia="zh-CN" w:bidi="ar-SA"/>
        </w:rPr>
      </w:pPr>
    </w:p>
    <w:p w14:paraId="79481D5D">
      <w:pPr>
        <w:rPr>
          <w:rFonts w:hint="default"/>
          <w:lang w:val="en-US" w:eastAsia="zh-CN"/>
        </w:rPr>
      </w:pPr>
    </w:p>
    <w:p w14:paraId="332D9825">
      <w:pPr>
        <w:pStyle w:val="7"/>
        <w:rPr>
          <w:rFonts w:hint="default"/>
          <w:lang w:val="en-US" w:eastAsia="zh-CN"/>
        </w:rPr>
      </w:pPr>
    </w:p>
    <w:p w14:paraId="1AA7C2A8">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2D8E547">
      <w:pPr>
        <w:pageBreakBefore w:val="0"/>
        <w:kinsoku/>
        <w:wordWrap/>
        <w:overflowPunct/>
        <w:topLinePunct w:val="0"/>
        <w:autoSpaceDE/>
        <w:autoSpaceDN/>
        <w:bidi w:val="0"/>
        <w:spacing w:line="572"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54073B6">
      <w:pPr>
        <w:pageBreakBefore w:val="0"/>
        <w:kinsoku/>
        <w:wordWrap/>
        <w:overflowPunct/>
        <w:topLinePunct w:val="0"/>
        <w:autoSpaceDE/>
        <w:autoSpaceDN/>
        <w:bidi w:val="0"/>
        <w:spacing w:line="572" w:lineRule="exact"/>
        <w:ind w:firstLine="64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390BE4C1">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2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3"/>
    </w:p>
    <w:p w14:paraId="1048287C">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24" w:name="_Toc15378460"/>
      <w:bookmarkStart w:id="25" w:name="_Toc15377213"/>
      <w:bookmarkStart w:id="26"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2024年度一般公共预算财政拨款支出（Z08表1栏）决算数为</w:t>
      </w:r>
      <w:r>
        <w:rPr>
          <w:rFonts w:hint="eastAsia" w:eastAsia="仿宋_GB2312" w:cs="仿宋_GB2312"/>
          <w:color w:val="auto"/>
          <w:kern w:val="2"/>
          <w:sz w:val="32"/>
          <w:szCs w:val="32"/>
          <w:highlight w:val="none"/>
          <w:lang w:val="en-US" w:eastAsia="zh-CN" w:bidi="ar-SA"/>
        </w:rPr>
        <w:t>1472.64万元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4"/>
      <w:bookmarkEnd w:id="25"/>
      <w:bookmarkEnd w:id="26"/>
    </w:p>
    <w:p w14:paraId="0C011F64">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Style w:val="20"/>
          <w:rFonts w:hint="eastAsia" w:ascii="仿宋_GB2312" w:hAnsi="仿宋_GB2312" w:eastAsia="仿宋_GB2312" w:cs="仿宋_GB2312"/>
          <w:bCs/>
          <w:color w:val="auto"/>
          <w:sz w:val="32"/>
          <w:szCs w:val="32"/>
          <w:highlight w:val="none"/>
        </w:rPr>
        <w:t>1.公共</w:t>
      </w:r>
      <w:r>
        <w:rPr>
          <w:rStyle w:val="20"/>
          <w:rFonts w:hint="eastAsia" w:ascii="仿宋_GB2312" w:hAnsi="仿宋_GB2312" w:eastAsia="仿宋_GB2312" w:cs="仿宋_GB2312"/>
          <w:bCs/>
          <w:color w:val="auto"/>
          <w:sz w:val="32"/>
          <w:szCs w:val="32"/>
          <w:highlight w:val="none"/>
          <w:lang w:val="en-US" w:eastAsia="zh-CN"/>
        </w:rPr>
        <w:t>安全</w:t>
      </w:r>
      <w:r>
        <w:rPr>
          <w:rStyle w:val="20"/>
          <w:rFonts w:hint="eastAsia" w:ascii="仿宋_GB2312" w:hAnsi="仿宋_GB2312" w:eastAsia="仿宋_GB2312" w:cs="仿宋_GB2312"/>
          <w:bCs/>
          <w:color w:val="auto"/>
          <w:sz w:val="32"/>
          <w:szCs w:val="32"/>
          <w:highlight w:val="none"/>
        </w:rPr>
        <w:t>（类）</w:t>
      </w:r>
      <w:r>
        <w:rPr>
          <w:rStyle w:val="20"/>
          <w:rFonts w:hint="eastAsia" w:ascii="仿宋_GB2312" w:hAnsi="仿宋_GB2312" w:eastAsia="仿宋_GB2312" w:cs="仿宋_GB2312"/>
          <w:bCs/>
          <w:color w:val="auto"/>
          <w:sz w:val="32"/>
          <w:szCs w:val="32"/>
          <w:highlight w:val="none"/>
          <w:lang w:val="en-US" w:eastAsia="zh-CN"/>
        </w:rPr>
        <w:t>检察</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val="en-US" w:eastAsia="zh-CN"/>
        </w:rPr>
        <w:t>行政运行</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 xml:space="preserve"> 支出决算为</w:t>
      </w:r>
      <w:r>
        <w:rPr>
          <w:rFonts w:hint="eastAsia" w:ascii="Times New Roman" w:hAnsi="Times New Roman" w:eastAsia="仿宋_GB2312" w:cs="Times New Roman"/>
          <w:color w:val="000000"/>
          <w:sz w:val="32"/>
          <w:szCs w:val="32"/>
          <w:lang w:val="en-US" w:eastAsia="zh-CN"/>
        </w:rPr>
        <w:t>766.95万元，完成预算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36AEFFB5">
      <w:pPr>
        <w:pageBreakBefore w:val="0"/>
        <w:kinsoku/>
        <w:wordWrap/>
        <w:overflowPunct/>
        <w:topLinePunct w:val="0"/>
        <w:bidi w:val="0"/>
        <w:spacing w:line="560"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Style w:val="20"/>
          <w:rFonts w:hint="eastAsia" w:ascii="仿宋_GB2312" w:hAnsi="仿宋_GB2312" w:eastAsia="仿宋_GB2312" w:cs="仿宋_GB2312"/>
          <w:bCs/>
          <w:color w:val="auto"/>
          <w:sz w:val="32"/>
          <w:szCs w:val="32"/>
          <w:highlight w:val="none"/>
        </w:rPr>
        <w:t>2.公共</w:t>
      </w:r>
      <w:r>
        <w:rPr>
          <w:rStyle w:val="20"/>
          <w:rFonts w:hint="eastAsia" w:ascii="仿宋_GB2312" w:hAnsi="仿宋_GB2312" w:eastAsia="仿宋_GB2312" w:cs="仿宋_GB2312"/>
          <w:bCs/>
          <w:color w:val="auto"/>
          <w:sz w:val="32"/>
          <w:szCs w:val="32"/>
          <w:highlight w:val="none"/>
          <w:lang w:val="en-US" w:eastAsia="zh-CN"/>
        </w:rPr>
        <w:t>安全</w:t>
      </w:r>
      <w:r>
        <w:rPr>
          <w:rStyle w:val="20"/>
          <w:rFonts w:hint="eastAsia" w:ascii="仿宋_GB2312" w:hAnsi="仿宋_GB2312" w:eastAsia="仿宋_GB2312" w:cs="仿宋_GB2312"/>
          <w:bCs/>
          <w:color w:val="auto"/>
          <w:sz w:val="32"/>
          <w:szCs w:val="32"/>
          <w:highlight w:val="none"/>
        </w:rPr>
        <w:t>（类）</w:t>
      </w:r>
      <w:r>
        <w:rPr>
          <w:rStyle w:val="20"/>
          <w:rFonts w:hint="eastAsia" w:ascii="仿宋_GB2312" w:hAnsi="仿宋_GB2312" w:eastAsia="仿宋_GB2312" w:cs="仿宋_GB2312"/>
          <w:bCs/>
          <w:color w:val="auto"/>
          <w:sz w:val="32"/>
          <w:szCs w:val="32"/>
          <w:highlight w:val="none"/>
          <w:lang w:val="en-US" w:eastAsia="zh-CN"/>
        </w:rPr>
        <w:t>检察</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val="en-US" w:eastAsia="zh-CN"/>
        </w:rPr>
        <w:t>一般管理事务</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 xml:space="preserve"> 支出决算为</w:t>
      </w:r>
      <w:r>
        <w:rPr>
          <w:rFonts w:hint="eastAsia" w:ascii="Times New Roman" w:hAnsi="Times New Roman" w:eastAsia="仿宋_GB2312" w:cs="Times New Roman"/>
          <w:color w:val="000000"/>
          <w:sz w:val="32"/>
          <w:szCs w:val="32"/>
          <w:lang w:val="en-US" w:eastAsia="zh-CN"/>
        </w:rPr>
        <w:t>455.85万元，完成预算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2979A9B7">
      <w:pPr>
        <w:pageBreakBefore w:val="0"/>
        <w:kinsoku/>
        <w:wordWrap/>
        <w:overflowPunct/>
        <w:topLinePunct w:val="0"/>
        <w:bidi w:val="0"/>
        <w:spacing w:line="560"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Style w:val="20"/>
          <w:rFonts w:hint="eastAsia" w:ascii="仿宋_GB2312" w:hAnsi="仿宋_GB2312" w:eastAsia="仿宋_GB2312" w:cs="仿宋_GB2312"/>
          <w:bCs/>
          <w:color w:val="auto"/>
          <w:sz w:val="32"/>
          <w:szCs w:val="32"/>
          <w:highlight w:val="none"/>
        </w:rPr>
        <w:t>3.社会保障和就业（类）</w:t>
      </w:r>
      <w:r>
        <w:rPr>
          <w:rStyle w:val="20"/>
          <w:rFonts w:hint="eastAsia" w:ascii="仿宋_GB2312" w:hAnsi="仿宋_GB2312" w:eastAsia="仿宋_GB2312" w:cs="仿宋_GB2312"/>
          <w:bCs/>
          <w:color w:val="auto"/>
          <w:sz w:val="32"/>
          <w:szCs w:val="32"/>
          <w:highlight w:val="none"/>
          <w:lang w:eastAsia="zh-CN"/>
        </w:rPr>
        <w:t>行政事业单位养老支出</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val="en-US" w:eastAsia="zh-CN"/>
        </w:rPr>
        <w:t>机关事业单位基本养老保险缴费支出</w:t>
      </w:r>
      <w:r>
        <w:rPr>
          <w:rStyle w:val="20"/>
          <w:rFonts w:hint="eastAsia" w:ascii="仿宋_GB2312" w:hAnsi="仿宋_GB2312" w:eastAsia="仿宋_GB2312" w:cs="仿宋_GB2312"/>
          <w:bCs/>
          <w:color w:val="auto"/>
          <w:sz w:val="32"/>
          <w:szCs w:val="32"/>
          <w:highlight w:val="none"/>
        </w:rPr>
        <w:t xml:space="preserve">（项）: </w:t>
      </w:r>
      <w:r>
        <w:rPr>
          <w:rStyle w:val="20"/>
          <w:rFonts w:hint="eastAsia" w:ascii="仿宋_GB2312" w:hAnsi="仿宋_GB2312" w:eastAsia="仿宋_GB2312" w:cs="仿宋_GB2312"/>
          <w:b w:val="0"/>
          <w:bCs/>
          <w:color w:val="auto"/>
          <w:sz w:val="32"/>
          <w:szCs w:val="32"/>
          <w:highlight w:val="none"/>
        </w:rPr>
        <w:t>支出决算为</w:t>
      </w:r>
      <w:r>
        <w:rPr>
          <w:rFonts w:hint="eastAsia" w:cs="Times New Roman"/>
          <w:color w:val="000000"/>
          <w:sz w:val="32"/>
          <w:szCs w:val="32"/>
          <w:lang w:val="en-US" w:eastAsia="zh-CN"/>
        </w:rPr>
        <w:t>89.65</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1E08EAA0">
      <w:pPr>
        <w:pageBreakBefore w:val="0"/>
        <w:kinsoku/>
        <w:wordWrap/>
        <w:overflowPunct/>
        <w:topLinePunct w:val="0"/>
        <w:bidi w:val="0"/>
        <w:spacing w:line="560"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Style w:val="20"/>
          <w:rFonts w:hint="eastAsia" w:ascii="仿宋_GB2312" w:hAnsi="仿宋_GB2312" w:eastAsia="仿宋_GB2312" w:cs="仿宋_GB2312"/>
          <w:bCs/>
          <w:color w:val="auto"/>
          <w:sz w:val="32"/>
          <w:szCs w:val="32"/>
          <w:highlight w:val="none"/>
          <w:lang w:val="en-US" w:eastAsia="zh-CN"/>
        </w:rPr>
        <w:t>4</w:t>
      </w:r>
      <w:r>
        <w:rPr>
          <w:rStyle w:val="20"/>
          <w:rFonts w:hint="eastAsia" w:ascii="仿宋_GB2312" w:hAnsi="仿宋_GB2312" w:eastAsia="仿宋_GB2312" w:cs="仿宋_GB2312"/>
          <w:bCs/>
          <w:color w:val="auto"/>
          <w:sz w:val="32"/>
          <w:szCs w:val="32"/>
          <w:highlight w:val="none"/>
        </w:rPr>
        <w:t>.社会保障和就业（类）</w:t>
      </w:r>
      <w:r>
        <w:rPr>
          <w:rStyle w:val="20"/>
          <w:rFonts w:hint="eastAsia" w:ascii="仿宋_GB2312" w:hAnsi="仿宋_GB2312" w:eastAsia="仿宋_GB2312" w:cs="仿宋_GB2312"/>
          <w:bCs/>
          <w:color w:val="auto"/>
          <w:sz w:val="32"/>
          <w:szCs w:val="32"/>
          <w:highlight w:val="none"/>
          <w:lang w:eastAsia="zh-CN"/>
        </w:rPr>
        <w:t>行政事业单位养老支出</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eastAsia="zh-CN"/>
        </w:rPr>
        <w:t>机关事业单位职业年金缴费支出</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 xml:space="preserve"> 支出决算为</w:t>
      </w:r>
      <w:r>
        <w:rPr>
          <w:rFonts w:hint="eastAsia" w:cs="Times New Roman"/>
          <w:color w:val="000000"/>
          <w:sz w:val="32"/>
          <w:szCs w:val="32"/>
          <w:lang w:val="en-US" w:eastAsia="zh-CN"/>
        </w:rPr>
        <w:t>10.05</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033EC90E">
      <w:pPr>
        <w:pageBreakBefore w:val="0"/>
        <w:kinsoku/>
        <w:wordWrap/>
        <w:overflowPunct/>
        <w:topLinePunct w:val="0"/>
        <w:bidi w:val="0"/>
        <w:spacing w:line="560" w:lineRule="exact"/>
        <w:ind w:firstLine="643" w:firstLineChars="200"/>
        <w:textAlignment w:val="auto"/>
        <w:rPr>
          <w:rFonts w:ascii="仿宋" w:hAnsi="仿宋" w:eastAsia="仿宋"/>
          <w:color w:val="000000"/>
          <w:sz w:val="32"/>
          <w:szCs w:val="32"/>
        </w:rPr>
      </w:pPr>
      <w:r>
        <w:rPr>
          <w:rStyle w:val="20"/>
          <w:rFonts w:hint="eastAsia" w:ascii="仿宋_GB2312" w:hAnsi="仿宋_GB2312" w:eastAsia="仿宋_GB2312" w:cs="仿宋_GB2312"/>
          <w:bCs/>
          <w:color w:val="auto"/>
          <w:sz w:val="32"/>
          <w:szCs w:val="32"/>
          <w:highlight w:val="none"/>
          <w:lang w:val="en-US" w:eastAsia="zh-CN"/>
        </w:rPr>
        <w:t>5</w:t>
      </w:r>
      <w:r>
        <w:rPr>
          <w:rStyle w:val="20"/>
          <w:rFonts w:hint="eastAsia" w:ascii="仿宋_GB2312" w:hAnsi="仿宋_GB2312" w:eastAsia="仿宋_GB2312" w:cs="仿宋_GB2312"/>
          <w:bCs/>
          <w:color w:val="auto"/>
          <w:sz w:val="32"/>
          <w:szCs w:val="32"/>
          <w:highlight w:val="none"/>
        </w:rPr>
        <w:t>.卫生健康（类）</w:t>
      </w:r>
      <w:r>
        <w:rPr>
          <w:rStyle w:val="20"/>
          <w:rFonts w:hint="eastAsia" w:ascii="仿宋_GB2312" w:hAnsi="仿宋_GB2312" w:eastAsia="仿宋_GB2312" w:cs="仿宋_GB2312"/>
          <w:bCs/>
          <w:color w:val="auto"/>
          <w:sz w:val="32"/>
          <w:szCs w:val="32"/>
          <w:highlight w:val="none"/>
          <w:lang w:val="en-US" w:eastAsia="zh-CN"/>
        </w:rPr>
        <w:t>行政事业单位医疗</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val="en-US" w:eastAsia="zh-CN"/>
        </w:rPr>
        <w:t>行政单位医疗</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支出决算为</w:t>
      </w:r>
      <w:r>
        <w:rPr>
          <w:rFonts w:hint="eastAsia" w:cs="Times New Roman"/>
          <w:color w:val="000000"/>
          <w:sz w:val="32"/>
          <w:szCs w:val="32"/>
          <w:lang w:val="en-US" w:eastAsia="zh-CN"/>
        </w:rPr>
        <w:t>47.51</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4B3ED9E4">
      <w:pPr>
        <w:pageBreakBefore w:val="0"/>
        <w:kinsoku/>
        <w:wordWrap/>
        <w:overflowPunct/>
        <w:topLinePunct w:val="0"/>
        <w:bidi w:val="0"/>
        <w:spacing w:line="560" w:lineRule="exact"/>
        <w:ind w:firstLine="643" w:firstLineChars="200"/>
        <w:textAlignment w:val="auto"/>
      </w:pPr>
      <w:r>
        <w:rPr>
          <w:rStyle w:val="20"/>
          <w:rFonts w:hint="eastAsia" w:ascii="仿宋_GB2312" w:hAnsi="仿宋_GB2312" w:eastAsia="仿宋_GB2312" w:cs="仿宋_GB2312"/>
          <w:bCs/>
          <w:color w:val="auto"/>
          <w:sz w:val="32"/>
          <w:szCs w:val="32"/>
          <w:highlight w:val="none"/>
          <w:lang w:val="en-US" w:eastAsia="zh-CN"/>
        </w:rPr>
        <w:t>6</w:t>
      </w:r>
      <w:r>
        <w:rPr>
          <w:rStyle w:val="20"/>
          <w:rFonts w:hint="eastAsia" w:ascii="仿宋_GB2312" w:hAnsi="仿宋_GB2312" w:eastAsia="仿宋_GB2312" w:cs="仿宋_GB2312"/>
          <w:bCs/>
          <w:color w:val="auto"/>
          <w:sz w:val="32"/>
          <w:szCs w:val="32"/>
          <w:highlight w:val="none"/>
        </w:rPr>
        <w:t>.卫生健康（类）</w:t>
      </w:r>
      <w:r>
        <w:rPr>
          <w:rStyle w:val="20"/>
          <w:rFonts w:hint="eastAsia" w:ascii="仿宋_GB2312" w:hAnsi="仿宋_GB2312" w:eastAsia="仿宋_GB2312" w:cs="仿宋_GB2312"/>
          <w:bCs/>
          <w:color w:val="auto"/>
          <w:sz w:val="32"/>
          <w:szCs w:val="32"/>
          <w:highlight w:val="none"/>
          <w:lang w:val="en-US" w:eastAsia="zh-CN"/>
        </w:rPr>
        <w:t>行政事业单位医疗</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eastAsia="zh-CN"/>
        </w:rPr>
        <w:t>公务员医疗补助</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支出决算为</w:t>
      </w:r>
      <w:r>
        <w:rPr>
          <w:rFonts w:hint="eastAsia" w:cs="Times New Roman"/>
          <w:color w:val="000000"/>
          <w:sz w:val="32"/>
          <w:szCs w:val="32"/>
          <w:lang w:val="en-US" w:eastAsia="zh-CN"/>
        </w:rPr>
        <w:t>12.30</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676087D5">
      <w:pPr>
        <w:pageBreakBefore w:val="0"/>
        <w:kinsoku/>
        <w:wordWrap/>
        <w:overflowPunct/>
        <w:topLinePunct w:val="0"/>
        <w:bidi w:val="0"/>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Style w:val="20"/>
          <w:rFonts w:hint="eastAsia" w:ascii="仿宋_GB2312" w:hAnsi="仿宋_GB2312" w:eastAsia="仿宋_GB2312" w:cs="仿宋_GB2312"/>
          <w:bCs/>
          <w:color w:val="auto"/>
          <w:sz w:val="32"/>
          <w:szCs w:val="32"/>
          <w:highlight w:val="none"/>
          <w:lang w:val="en-US" w:eastAsia="zh-CN"/>
        </w:rPr>
        <w:t>7.住房保障支出（类）住房改革支出（款）住房公积金（项）:</w:t>
      </w:r>
      <w:r>
        <w:rPr>
          <w:rStyle w:val="20"/>
          <w:rFonts w:hint="eastAsia" w:ascii="仿宋_GB2312" w:hAnsi="仿宋_GB2312" w:eastAsia="仿宋_GB2312" w:cs="仿宋_GB2312"/>
          <w:b w:val="0"/>
          <w:bCs/>
          <w:color w:val="auto"/>
          <w:sz w:val="32"/>
          <w:szCs w:val="32"/>
          <w:highlight w:val="none"/>
        </w:rPr>
        <w:t>支出决算为</w:t>
      </w:r>
      <w:r>
        <w:rPr>
          <w:rFonts w:hint="eastAsia" w:cs="Times New Roman"/>
          <w:color w:val="000000"/>
          <w:sz w:val="32"/>
          <w:szCs w:val="32"/>
          <w:lang w:val="en-US" w:eastAsia="zh-CN"/>
        </w:rPr>
        <w:t>90.35</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536E9CBF">
      <w:pPr>
        <w:pageBreakBefore w:val="0"/>
        <w:tabs>
          <w:tab w:val="right" w:pos="8306"/>
        </w:tabs>
        <w:kinsoku/>
        <w:wordWrap/>
        <w:overflowPunct/>
        <w:topLinePunct w:val="0"/>
        <w:autoSpaceDE/>
        <w:autoSpaceDN/>
        <w:bidi w:val="0"/>
        <w:spacing w:line="572" w:lineRule="exact"/>
        <w:ind w:firstLine="640"/>
        <w:textAlignment w:val="auto"/>
        <w:outlineLvl w:val="1"/>
        <w:rPr>
          <w:rStyle w:val="32"/>
          <w:rFonts w:ascii="Times New Roman" w:hAnsi="Times New Roman"/>
          <w:color w:val="auto"/>
          <w:highlight w:val="none"/>
        </w:rPr>
      </w:pPr>
      <w:bookmarkStart w:id="27" w:name="_Toc15377214"/>
      <w:bookmarkStart w:id="28"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27"/>
      <w:bookmarkEnd w:id="28"/>
      <w:r>
        <w:rPr>
          <w:rStyle w:val="32"/>
          <w:rFonts w:ascii="Times New Roman" w:hAnsi="Times New Roman" w:eastAsia="黑体"/>
          <w:b w:val="0"/>
          <w:color w:val="auto"/>
          <w:highlight w:val="none"/>
        </w:rPr>
        <w:tab/>
      </w:r>
    </w:p>
    <w:p w14:paraId="05BED32C">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2024年度一般公共预算财政拨款基本支出（z07表8栏合计数）</w:t>
      </w:r>
      <w:r>
        <w:rPr>
          <w:rFonts w:hint="eastAsia" w:eastAsia="仿宋_GB2312" w:cs="仿宋_GB2312"/>
          <w:color w:val="auto"/>
          <w:kern w:val="2"/>
          <w:sz w:val="32"/>
          <w:szCs w:val="32"/>
          <w:highlight w:val="none"/>
          <w:lang w:val="en-US" w:eastAsia="zh-CN" w:bidi="ar-SA"/>
        </w:rPr>
        <w:t>1016.80</w:t>
      </w:r>
      <w:r>
        <w:rPr>
          <w:rFonts w:hint="eastAsia" w:ascii="Times New Roman" w:hAnsi="Times New Roman" w:eastAsia="仿宋_GB2312" w:cs="仿宋_GB2312"/>
          <w:color w:val="auto"/>
          <w:kern w:val="2"/>
          <w:sz w:val="32"/>
          <w:szCs w:val="32"/>
          <w:highlight w:val="none"/>
          <w:lang w:val="en-US" w:eastAsia="zh-CN" w:bidi="ar-SA"/>
        </w:rPr>
        <w:t>万元，其中：</w:t>
      </w:r>
    </w:p>
    <w:p w14:paraId="76D9D6EB">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人员经费（z07表9栏合计数）</w:t>
      </w:r>
      <w:r>
        <w:rPr>
          <w:rFonts w:hint="eastAsia" w:eastAsia="仿宋_GB2312" w:cs="仿宋_GB2312"/>
          <w:color w:val="auto"/>
          <w:kern w:val="2"/>
          <w:sz w:val="32"/>
          <w:szCs w:val="32"/>
          <w:highlight w:val="none"/>
          <w:lang w:val="en-US" w:eastAsia="zh-CN" w:bidi="ar-SA"/>
        </w:rPr>
        <w:t>820.69</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机关事业单位基本养老保险缴费、职业年金缴费、其他社会保障缴费、职工基本医疗保险缴费、公务员医疗补助缴费、其他工资福利支出、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公用经费（z07表10栏合计数）</w:t>
      </w:r>
      <w:r>
        <w:rPr>
          <w:rFonts w:hint="eastAsia" w:eastAsia="仿宋_GB2312" w:cs="仿宋_GB2312"/>
          <w:color w:val="auto"/>
          <w:kern w:val="2"/>
          <w:sz w:val="32"/>
          <w:szCs w:val="32"/>
          <w:highlight w:val="none"/>
          <w:lang w:val="en-US" w:eastAsia="zh-CN" w:bidi="ar-SA"/>
        </w:rPr>
        <w:t>196.11</w:t>
      </w:r>
      <w:r>
        <w:rPr>
          <w:rFonts w:hint="eastAsia" w:ascii="Times New Roman" w:hAnsi="Times New Roman" w:eastAsia="仿宋_GB2312" w:cs="仿宋_GB2312"/>
          <w:color w:val="auto"/>
          <w:kern w:val="2"/>
          <w:sz w:val="32"/>
          <w:szCs w:val="32"/>
          <w:highlight w:val="none"/>
          <w:lang w:val="en-US" w:eastAsia="zh-CN" w:bidi="ar-SA"/>
        </w:rPr>
        <w:t>万元，主要包括：办公费、印刷费、水费、电费、邮电费、物业管理费、差旅费、维修（护）费、租赁费、培训费、公务接待费、劳务费、委托业务费、工会经费、福利费、公务用车运行维护费、其他交通费、其他商品和服务支出</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w:t>
      </w:r>
    </w:p>
    <w:p w14:paraId="19363942">
      <w:pPr>
        <w:pageBreakBefore w:val="0"/>
        <w:kinsoku/>
        <w:wordWrap/>
        <w:overflowPunct/>
        <w:topLinePunct w:val="0"/>
        <w:autoSpaceDE/>
        <w:autoSpaceDN/>
        <w:bidi w:val="0"/>
        <w:spacing w:line="572" w:lineRule="exact"/>
        <w:ind w:firstLine="640"/>
        <w:textAlignment w:val="auto"/>
        <w:outlineLvl w:val="1"/>
        <w:rPr>
          <w:rStyle w:val="32"/>
          <w:rFonts w:ascii="Times New Roman" w:hAnsi="Times New Roman" w:eastAsia="黑体"/>
          <w:b w:val="0"/>
          <w:color w:val="auto"/>
          <w:highlight w:val="none"/>
        </w:rPr>
      </w:pPr>
      <w:bookmarkStart w:id="29" w:name="_Toc15377215"/>
      <w:bookmarkStart w:id="30" w:name="_Toc15396609"/>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29"/>
      <w:bookmarkEnd w:id="30"/>
    </w:p>
    <w:p w14:paraId="0869795B">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1"/>
    </w:p>
    <w:p w14:paraId="2B864C83">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w:t>
      </w:r>
      <w:r>
        <w:rPr>
          <w:rFonts w:hint="eastAsia" w:eastAsia="仿宋_GB2312" w:cs="仿宋_GB2312"/>
          <w:color w:val="auto"/>
          <w:kern w:val="2"/>
          <w:sz w:val="32"/>
          <w:szCs w:val="32"/>
          <w:highlight w:val="none"/>
          <w:lang w:val="en-US" w:eastAsia="zh-CN" w:bidi="ar-SA"/>
        </w:rPr>
        <w:t>F03</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栏）为</w:t>
      </w:r>
      <w:r>
        <w:rPr>
          <w:rFonts w:hint="eastAsia" w:eastAsia="仿宋_GB2312" w:cs="仿宋_GB2312"/>
          <w:color w:val="auto"/>
          <w:kern w:val="2"/>
          <w:sz w:val="32"/>
          <w:szCs w:val="32"/>
          <w:highlight w:val="none"/>
          <w:lang w:val="en-US" w:eastAsia="zh-CN" w:bidi="ar-SA"/>
        </w:rPr>
        <w:t>76.63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F03</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栏</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F03</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行</w:t>
      </w:r>
      <w:r>
        <w:rPr>
          <w:rFonts w:hint="default" w:eastAsia="仿宋_GB2312" w:cs="仿宋_GB2312"/>
          <w:color w:val="auto"/>
          <w:kern w:val="2"/>
          <w:sz w:val="32"/>
          <w:szCs w:val="32"/>
          <w:highlight w:val="none"/>
          <w:lang w:val="en" w:eastAsia="zh-CN" w:bidi="ar-SA"/>
        </w:rPr>
        <w:t>2</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54.45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245.49</w:t>
      </w:r>
      <w:r>
        <w:rPr>
          <w:rFonts w:hint="eastAsia" w:ascii="Times New Roman" w:hAnsi="Times New Roman" w:eastAsia="仿宋_GB2312" w:cs="仿宋_GB2312"/>
          <w:color w:val="auto"/>
          <w:kern w:val="2"/>
          <w:sz w:val="32"/>
          <w:szCs w:val="32"/>
          <w:highlight w:val="none"/>
          <w:lang w:val="en-US" w:eastAsia="zh-CN" w:bidi="ar-SA"/>
        </w:rPr>
        <w:t>%。</w:t>
      </w:r>
    </w:p>
    <w:p w14:paraId="7BA1CD6D">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2"/>
    </w:p>
    <w:p w14:paraId="541CB954">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2024年度“三公”经费财政拨款支出决算中，因公出国（境）费支出决算（F03表</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%；公务用车购置及运行维护费支出决算（F03表</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75.15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98.07</w:t>
      </w:r>
      <w:r>
        <w:rPr>
          <w:rFonts w:hint="eastAsia" w:ascii="Times New Roman" w:hAnsi="Times New Roman" w:eastAsia="仿宋_GB2312" w:cs="仿宋_GB2312"/>
          <w:color w:val="auto"/>
          <w:kern w:val="2"/>
          <w:sz w:val="32"/>
          <w:szCs w:val="32"/>
          <w:highlight w:val="none"/>
          <w:lang w:val="en-US" w:eastAsia="zh-CN" w:bidi="ar-SA"/>
        </w:rPr>
        <w:t>%；公务接待费支出决算（F03表</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1.93</w:t>
      </w:r>
      <w:r>
        <w:rPr>
          <w:rFonts w:hint="eastAsia" w:ascii="Times New Roman" w:hAnsi="Times New Roman" w:eastAsia="仿宋_GB2312" w:cs="仿宋_GB2312"/>
          <w:color w:val="auto"/>
          <w:kern w:val="2"/>
          <w:sz w:val="32"/>
          <w:szCs w:val="32"/>
          <w:highlight w:val="none"/>
          <w:lang w:val="en-US" w:eastAsia="zh-CN" w:bidi="ar-SA"/>
        </w:rPr>
        <w:t>%。具体情况如下</w:t>
      </w:r>
      <w:r>
        <w:rPr>
          <w:rFonts w:hint="eastAsia" w:eastAsia="仿宋_GB2312" w:cs="仿宋_GB2312"/>
          <w:color w:val="auto"/>
          <w:kern w:val="2"/>
          <w:sz w:val="32"/>
          <w:szCs w:val="32"/>
          <w:highlight w:val="none"/>
          <w:lang w:val="en-US" w:eastAsia="zh-CN" w:bidi="ar-SA"/>
        </w:rPr>
        <w:t>：</w:t>
      </w:r>
    </w:p>
    <w:p w14:paraId="4D18BB10">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0E1237B">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187888A">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819EA3D">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A35CFC1">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anchor distT="0" distB="0" distL="114300" distR="114300" simplePos="0" relativeHeight="251668480" behindDoc="0" locked="0" layoutInCell="1" allowOverlap="1">
            <wp:simplePos x="0" y="0"/>
            <wp:positionH relativeFrom="column">
              <wp:posOffset>323850</wp:posOffset>
            </wp:positionH>
            <wp:positionV relativeFrom="paragraph">
              <wp:posOffset>106680</wp:posOffset>
            </wp:positionV>
            <wp:extent cx="4732020" cy="2512060"/>
            <wp:effectExtent l="4445" t="4445" r="6985" b="17145"/>
            <wp:wrapNone/>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598ECAB6">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EE8D04A">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2C8E93CB">
      <w:pPr>
        <w:pageBreakBefore w:val="0"/>
        <w:kinsoku/>
        <w:wordWrap/>
        <w:overflowPunct/>
        <w:topLinePunct w:val="0"/>
        <w:autoSpaceDE/>
        <w:autoSpaceDN/>
        <w:bidi w:val="0"/>
        <w:spacing w:line="572" w:lineRule="exact"/>
        <w:ind w:firstLine="320" w:firstLineChars="10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3266C612">
      <w:pPr>
        <w:pStyle w:val="2"/>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4AEE557E">
      <w:pPr>
        <w:pageBreakBefore w:val="0"/>
        <w:kinsoku/>
        <w:wordWrap/>
        <w:overflowPunct/>
        <w:topLinePunct w:val="0"/>
        <w:autoSpaceDE/>
        <w:autoSpaceDN/>
        <w:bidi w:val="0"/>
        <w:spacing w:line="572" w:lineRule="exact"/>
        <w:ind w:firstLine="320" w:firstLineChars="10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106E604F">
      <w:pPr>
        <w:pageBreakBefore w:val="0"/>
        <w:kinsoku/>
        <w:wordWrap/>
        <w:overflowPunct/>
        <w:topLinePunct w:val="0"/>
        <w:autoSpaceDE/>
        <w:autoSpaceDN/>
        <w:bidi w:val="0"/>
        <w:spacing w:line="572" w:lineRule="exact"/>
        <w:ind w:firstLine="320" w:firstLineChars="10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2831E1CD">
      <w:pPr>
        <w:pageBreakBefore w:val="0"/>
        <w:kinsoku/>
        <w:wordWrap/>
        <w:overflowPunct/>
        <w:topLinePunct w:val="0"/>
        <w:autoSpaceDE/>
        <w:autoSpaceDN/>
        <w:bidi w:val="0"/>
        <w:spacing w:line="572" w:lineRule="exact"/>
        <w:ind w:firstLine="320" w:firstLineChars="10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2D6E5534">
      <w:pPr>
        <w:pageBreakBefore w:val="0"/>
        <w:kinsoku/>
        <w:wordWrap/>
        <w:overflowPunct/>
        <w:topLinePunct w:val="0"/>
        <w:bidi w:val="0"/>
        <w:spacing w:line="560" w:lineRule="exact"/>
        <w:ind w:firstLine="640"/>
        <w:textAlignment w:val="auto"/>
        <w:rPr>
          <w:rFonts w:hint="eastAsia" w:cs="Times New Roman"/>
          <w:color w:val="000000"/>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0.00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全年安排因公出国（境）团组（F03表</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次，出国（境）（F03表</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主要原因是2024年无因公出国（境）。</w:t>
      </w:r>
    </w:p>
    <w:p w14:paraId="2813A378">
      <w:pPr>
        <w:pageBreakBefore w:val="0"/>
        <w:kinsoku/>
        <w:wordWrap/>
        <w:overflowPunct/>
        <w:topLinePunct w:val="0"/>
        <w:autoSpaceDE/>
        <w:autoSpaceDN/>
        <w:bidi w:val="0"/>
        <w:spacing w:line="572" w:lineRule="exact"/>
        <w:ind w:firstLine="640"/>
        <w:textAlignment w:val="auto"/>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Times New Roman" w:hAnsi="Times New Roman" w:eastAsia="仿宋_GB2312" w:cs="仿宋_GB2312"/>
          <w:color w:val="auto"/>
          <w:kern w:val="2"/>
          <w:sz w:val="32"/>
          <w:szCs w:val="32"/>
          <w:highlight w:val="none"/>
          <w:lang w:val="en-US" w:eastAsia="zh-CN" w:bidi="ar-SA"/>
        </w:rPr>
        <w:t>（F03表</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b/>
          <w:bCs/>
          <w:color w:val="auto"/>
          <w:kern w:val="2"/>
          <w:sz w:val="32"/>
          <w:szCs w:val="32"/>
          <w:highlight w:val="none"/>
          <w:lang w:val="en-US" w:eastAsia="zh-CN" w:bidi="ar-SA"/>
        </w:rPr>
        <w:t>75.15</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55.25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277.64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2024年我院新购置两台执法执勤用车。</w:t>
      </w:r>
    </w:p>
    <w:p w14:paraId="0CF097F2">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其中：公务用车购置支出（F03表</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52.16</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17.99</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，多用途乘用车1辆、金额34.17万元</w:t>
      </w:r>
      <w:r>
        <w:rPr>
          <w:rFonts w:hint="eastAsia" w:ascii="Times New Roman" w:hAnsi="Times New Roman" w:eastAsia="仿宋_GB2312" w:cs="仿宋_GB2312"/>
          <w:color w:val="auto"/>
          <w:kern w:val="2"/>
          <w:sz w:val="32"/>
          <w:szCs w:val="32"/>
          <w:highlight w:val="none"/>
          <w:lang w:val="en-US" w:eastAsia="zh-CN" w:bidi="ar-SA"/>
        </w:rPr>
        <w:t>，主要用于</w:t>
      </w:r>
      <w:r>
        <w:rPr>
          <w:rFonts w:hint="eastAsia" w:eastAsia="仿宋_GB2312" w:cs="仿宋_GB2312"/>
          <w:color w:val="auto"/>
          <w:kern w:val="2"/>
          <w:sz w:val="32"/>
          <w:szCs w:val="32"/>
          <w:highlight w:val="none"/>
          <w:lang w:val="en-US" w:eastAsia="zh-CN" w:bidi="ar-SA"/>
        </w:rPr>
        <w:t>保障检察办案所需</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多用途乘用车1辆、</w:t>
      </w:r>
      <w:r>
        <w:rPr>
          <w:rFonts w:hint="eastAsia" w:ascii="Times New Roman" w:hAnsi="Times New Roman" w:eastAsia="仿宋_GB2312" w:cs="仿宋_GB2312"/>
          <w:color w:val="auto"/>
          <w:kern w:val="2"/>
          <w:sz w:val="32"/>
          <w:szCs w:val="32"/>
          <w:highlight w:val="none"/>
          <w:lang w:val="en-US" w:eastAsia="zh-CN" w:bidi="ar-SA"/>
        </w:rPr>
        <w:t>载客汽车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00791515">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公务用车运行维护费支出（F03表</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22.99</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检察办案工作</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71A76492">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3.公务接待费支出（F03表7行3栏）</w:t>
      </w:r>
      <w:r>
        <w:rPr>
          <w:rFonts w:hint="eastAsia" w:eastAsia="仿宋_GB2312" w:cs="仿宋_GB2312"/>
          <w:b/>
          <w:bCs/>
          <w:color w:val="auto"/>
          <w:kern w:val="2"/>
          <w:sz w:val="32"/>
          <w:szCs w:val="32"/>
          <w:highlight w:val="none"/>
          <w:lang w:val="en-US" w:eastAsia="zh-CN" w:bidi="ar-SA"/>
        </w:rPr>
        <w:t>1.49</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0.79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34.65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落实中央八项规定，厉行节约，进一步压减公务接待支出</w:t>
      </w:r>
      <w:r>
        <w:rPr>
          <w:rFonts w:hint="eastAsia" w:ascii="Times New Roman" w:hAnsi="Times New Roman" w:eastAsia="仿宋_GB2312" w:cs="仿宋_GB2312"/>
          <w:color w:val="auto"/>
          <w:kern w:val="2"/>
          <w:sz w:val="32"/>
          <w:szCs w:val="32"/>
          <w:highlight w:val="none"/>
          <w:lang w:val="en-US" w:eastAsia="zh-CN" w:bidi="ar-SA"/>
        </w:rPr>
        <w:t>。其中：</w:t>
      </w:r>
    </w:p>
    <w:p w14:paraId="4DFBE3DE">
      <w:pPr>
        <w:pageBreakBefore w:val="0"/>
        <w:kinsoku/>
        <w:wordWrap/>
        <w:overflowPunct/>
        <w:topLinePunct w:val="0"/>
        <w:autoSpaceDE/>
        <w:autoSpaceDN/>
        <w:bidi w:val="0"/>
        <w:spacing w:line="572"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国内公务接待支出（F03表</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万元，主要用于检察办案、检察业务交流所需执行公务、开展业务活动开支的交通费、住宿费、用餐费等。国内公务接待（F03表</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132</w:t>
      </w:r>
      <w:r>
        <w:rPr>
          <w:rFonts w:hint="eastAsia" w:ascii="Times New Roman" w:hAnsi="Times New Roman" w:eastAsia="仿宋_GB2312" w:cs="仿宋_GB2312"/>
          <w:color w:val="auto"/>
          <w:kern w:val="2"/>
          <w:sz w:val="32"/>
          <w:szCs w:val="32"/>
          <w:highlight w:val="none"/>
          <w:lang w:val="en-US" w:eastAsia="zh-CN" w:bidi="ar-SA"/>
        </w:rPr>
        <w:t>人次（F03表</w:t>
      </w: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行3栏）（不包括陪同人员），共计支出</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全市检察机关射击训练接待支出2099.20元、市院公益诉讼调研接待支出2800.40元、青川县检察院来我院交流刑事检察工作接待支出980.60元、市院调研职务犯罪和公诉出庭接待支出1675.00元、市院开展民事检察执行监督案件专项评查接待支出420.00元、委托市院开展公益诉讼技术协助接待支出940.00元、省院赴我院办案接待支出475.00元、市院调研我院检察业务工作接待支出950.00元、市院调研我院司法救助工作接待支出993.00元、巡回检察接待支出390.00元、拉萨军事检察院来我院进行跨区域司法救助核实工作接待支出399.70元、市院调研专项行动工作接待支出1035.00元、省院考察驻看守所检察室建设工作接待支出950.00元、市院调研接待支出760.00元。</w:t>
      </w:r>
    </w:p>
    <w:p w14:paraId="47A4FF99">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外事接待支出（F03表</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万元。外事接待（F03表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7行3栏）</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人次（F03表</w:t>
      </w: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行3栏）（不包括陪同人员），共计支出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w:t>
      </w:r>
      <w:bookmarkStart w:id="33" w:name="_Toc15396610"/>
      <w:bookmarkStart w:id="34" w:name="_Toc15377218"/>
    </w:p>
    <w:p w14:paraId="09C91DA8">
      <w:pPr>
        <w:pageBreakBefore w:val="0"/>
        <w:kinsoku/>
        <w:wordWrap/>
        <w:overflowPunct/>
        <w:topLinePunct w:val="0"/>
        <w:autoSpaceDE/>
        <w:autoSpaceDN/>
        <w:bidi w:val="0"/>
        <w:spacing w:line="572" w:lineRule="exact"/>
        <w:ind w:firstLine="640"/>
        <w:textAlignment w:val="auto"/>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33"/>
      <w:bookmarkEnd w:id="34"/>
    </w:p>
    <w:p w14:paraId="0A30187A">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Z10</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合计</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万元，占本年支出合计（</w:t>
      </w:r>
      <w:r>
        <w:rPr>
          <w:rFonts w:hint="eastAsia" w:eastAsia="仿宋_GB2312" w:cs="仿宋_GB2312"/>
          <w:color w:val="auto"/>
          <w:kern w:val="2"/>
          <w:sz w:val="32"/>
          <w:szCs w:val="32"/>
          <w:highlight w:val="none"/>
          <w:lang w:val="en-US" w:eastAsia="zh-CN" w:bidi="ar-SA"/>
        </w:rPr>
        <w:t>Z10</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合计</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Z01表84行9栏）的</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持平。</w:t>
      </w:r>
    </w:p>
    <w:p w14:paraId="1D8FF5E1">
      <w:pPr>
        <w:pageBreakBefore w:val="0"/>
        <w:numPr>
          <w:ilvl w:val="0"/>
          <w:numId w:val="0"/>
        </w:numPr>
        <w:kinsoku/>
        <w:wordWrap/>
        <w:overflowPunct/>
        <w:topLinePunct w:val="0"/>
        <w:autoSpaceDE/>
        <w:autoSpaceDN/>
        <w:bidi w:val="0"/>
        <w:spacing w:line="572" w:lineRule="exact"/>
        <w:ind w:left="630" w:leftChars="0"/>
        <w:textAlignment w:val="auto"/>
        <w:outlineLvl w:val="1"/>
        <w:rPr>
          <w:rStyle w:val="32"/>
          <w:rFonts w:ascii="Times New Roman" w:hAnsi="Times New Roman" w:eastAsia="黑体"/>
          <w:b w:val="0"/>
          <w:color w:val="auto"/>
          <w:highlight w:val="none"/>
        </w:rPr>
      </w:pPr>
      <w:bookmarkStart w:id="35" w:name="_Toc15396611"/>
      <w:bookmarkStart w:id="36"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35"/>
      <w:bookmarkEnd w:id="36"/>
    </w:p>
    <w:p w14:paraId="60E12DBC">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2024年度国有资本经营预算财政拨款支出（Z</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合计</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万元，占本年支出合计的（Z</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合计</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Z01表84行9栏）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p>
    <w:p w14:paraId="1D40B53A">
      <w:pPr>
        <w:pageBreakBefore w:val="0"/>
        <w:numPr>
          <w:ilvl w:val="0"/>
          <w:numId w:val="0"/>
        </w:numPr>
        <w:kinsoku/>
        <w:wordWrap/>
        <w:overflowPunct/>
        <w:topLinePunct w:val="0"/>
        <w:autoSpaceDE/>
        <w:autoSpaceDN/>
        <w:bidi w:val="0"/>
        <w:spacing w:line="572" w:lineRule="exact"/>
        <w:ind w:left="630" w:leftChars="0"/>
        <w:textAlignment w:val="auto"/>
        <w:outlineLvl w:val="1"/>
        <w:rPr>
          <w:rStyle w:val="32"/>
          <w:rFonts w:hint="eastAsia" w:ascii="Times New Roman" w:hAnsi="Times New Roman" w:eastAsia="黑体"/>
          <w:b w:val="0"/>
          <w:color w:val="auto"/>
          <w:highlight w:val="none"/>
        </w:rPr>
      </w:pPr>
      <w:bookmarkStart w:id="37" w:name="_Toc15396612"/>
      <w:bookmarkStart w:id="38"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37"/>
      <w:bookmarkEnd w:id="38"/>
    </w:p>
    <w:p w14:paraId="54E4EF6A">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9" w:name="_Toc15377222"/>
      <w:r>
        <w:rPr>
          <w:rFonts w:hint="eastAsia" w:ascii="Times New Roman" w:hAnsi="Times New Roman" w:eastAsia="楷体_GB2312" w:cs="楷体_GB2312"/>
          <w:b/>
          <w:color w:val="auto"/>
          <w:sz w:val="32"/>
          <w:szCs w:val="32"/>
          <w:highlight w:val="none"/>
        </w:rPr>
        <w:t>（一）机关运行经费支出情况</w:t>
      </w:r>
      <w:bookmarkEnd w:id="39"/>
    </w:p>
    <w:p w14:paraId="009CB640">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荣县人民检察院</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F03</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196.11</w:t>
      </w:r>
      <w:r>
        <w:rPr>
          <w:rFonts w:hint="eastAsia" w:ascii="Times New Roman" w:hAnsi="Times New Roman" w:eastAsia="仿宋_GB2312" w:cs="仿宋_GB2312"/>
          <w:color w:val="auto"/>
          <w:kern w:val="2"/>
          <w:sz w:val="32"/>
          <w:szCs w:val="32"/>
          <w:highlight w:val="none"/>
          <w:lang w:val="en-US" w:eastAsia="zh-CN" w:bidi="ar-SA"/>
        </w:rPr>
        <w:t>万元，比2023年度减少</w:t>
      </w:r>
      <w:r>
        <w:rPr>
          <w:rFonts w:hint="eastAsia" w:eastAsia="仿宋_GB2312" w:cs="仿宋_GB2312"/>
          <w:color w:val="auto"/>
          <w:kern w:val="2"/>
          <w:sz w:val="32"/>
          <w:szCs w:val="32"/>
          <w:highlight w:val="none"/>
          <w:lang w:val="en-US" w:eastAsia="zh-CN" w:bidi="ar-SA"/>
        </w:rPr>
        <w:t>14.37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6.83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2024年部分机关运行经费在年初预算时纳入常年专项项目预算中进行编制，并在实际支出中纳入常年专项项目执行核算。</w:t>
      </w:r>
    </w:p>
    <w:p w14:paraId="700749FF">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0" w:name="_Toc15377223"/>
      <w:r>
        <w:rPr>
          <w:rFonts w:hint="eastAsia" w:ascii="Times New Roman" w:hAnsi="Times New Roman" w:eastAsia="楷体_GB2312" w:cs="楷体_GB2312"/>
          <w:b/>
          <w:color w:val="auto"/>
          <w:sz w:val="32"/>
          <w:szCs w:val="32"/>
          <w:highlight w:val="none"/>
        </w:rPr>
        <w:t>（二）政府采购支出情况</w:t>
      </w:r>
      <w:bookmarkEnd w:id="40"/>
    </w:p>
    <w:p w14:paraId="6AA1ED56">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荣县人民检察院</w:t>
      </w:r>
      <w:r>
        <w:rPr>
          <w:rFonts w:hint="eastAsia" w:ascii="Times New Roman" w:hAnsi="Times New Roman" w:eastAsia="仿宋_GB2312" w:cs="仿宋_GB2312"/>
          <w:color w:val="auto"/>
          <w:kern w:val="2"/>
          <w:sz w:val="32"/>
          <w:szCs w:val="32"/>
          <w:highlight w:val="none"/>
          <w:lang w:val="en-US" w:eastAsia="zh-CN" w:bidi="ar-SA"/>
        </w:rPr>
        <w:t>政府采购支出总额（F03表</w:t>
      </w:r>
      <w:r>
        <w:rPr>
          <w:rFonts w:hint="eastAsia" w:eastAsia="仿宋_GB2312" w:cs="仿宋_GB2312"/>
          <w:color w:val="auto"/>
          <w:kern w:val="2"/>
          <w:sz w:val="32"/>
          <w:szCs w:val="32"/>
          <w:highlight w:val="none"/>
          <w:lang w:val="en-US" w:eastAsia="zh-CN" w:bidi="ar-SA"/>
        </w:rPr>
        <w:t>40</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45.85</w:t>
      </w:r>
      <w:r>
        <w:rPr>
          <w:rFonts w:hint="eastAsia" w:ascii="Times New Roman" w:hAnsi="Times New Roman" w:eastAsia="仿宋_GB2312" w:cs="仿宋_GB2312"/>
          <w:color w:val="auto"/>
          <w:kern w:val="2"/>
          <w:sz w:val="32"/>
          <w:szCs w:val="32"/>
          <w:highlight w:val="none"/>
          <w:lang w:val="en-US" w:eastAsia="zh-CN" w:bidi="ar-SA"/>
        </w:rPr>
        <w:t>万元，其中：政府采购货物支出（F03表</w:t>
      </w:r>
      <w:r>
        <w:rPr>
          <w:rFonts w:hint="eastAsia" w:eastAsia="仿宋_GB2312" w:cs="仿宋_GB2312"/>
          <w:color w:val="auto"/>
          <w:kern w:val="2"/>
          <w:sz w:val="32"/>
          <w:szCs w:val="32"/>
          <w:highlight w:val="none"/>
          <w:lang w:val="en-US" w:eastAsia="zh-CN" w:bidi="ar-SA"/>
        </w:rPr>
        <w:t>41</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万元、政府采购工程支出（F03表</w:t>
      </w: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万元、政府采购服务支出（F03表</w:t>
      </w:r>
      <w:r>
        <w:rPr>
          <w:rFonts w:hint="eastAsia" w:eastAsia="仿宋_GB2312" w:cs="仿宋_GB2312"/>
          <w:color w:val="auto"/>
          <w:kern w:val="2"/>
          <w:sz w:val="32"/>
          <w:szCs w:val="32"/>
          <w:highlight w:val="none"/>
          <w:lang w:val="en-US" w:eastAsia="zh-CN" w:bidi="ar-SA"/>
        </w:rPr>
        <w:t>43</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45.85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物业管理服务合同采购</w:t>
      </w:r>
      <w:r>
        <w:rPr>
          <w:rFonts w:hint="eastAsia" w:ascii="Times New Roman" w:hAnsi="Times New Roman" w:eastAsia="仿宋_GB2312" w:cs="仿宋_GB2312"/>
          <w:color w:val="auto"/>
          <w:kern w:val="2"/>
          <w:sz w:val="32"/>
          <w:szCs w:val="32"/>
          <w:highlight w:val="none"/>
          <w:lang w:val="en-US" w:eastAsia="zh-CN" w:bidi="ar-SA"/>
        </w:rPr>
        <w:t>。授予中小企业合同金额（F03表4</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行4栏）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万元，占政府采购支出总额（F03表40行4栏）的</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%，其中：授予小微企业合同金额（F03表4</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行4栏）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万元，占政府采购支出总额的（F03表4</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行4栏</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F03表40行4栏）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w:t>
      </w:r>
    </w:p>
    <w:p w14:paraId="7AB9CA45">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1" w:name="_Toc15377224"/>
      <w:r>
        <w:rPr>
          <w:rFonts w:hint="eastAsia" w:ascii="Times New Roman" w:hAnsi="Times New Roman" w:eastAsia="楷体_GB2312" w:cs="楷体_GB2312"/>
          <w:b/>
          <w:color w:val="auto"/>
          <w:sz w:val="32"/>
          <w:szCs w:val="32"/>
          <w:highlight w:val="none"/>
        </w:rPr>
        <w:t>（三）国有资产占有使用情况</w:t>
      </w:r>
      <w:bookmarkEnd w:id="41"/>
    </w:p>
    <w:p w14:paraId="55D75958">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荣县人民检察院</w:t>
      </w:r>
      <w:r>
        <w:rPr>
          <w:rFonts w:hint="eastAsia" w:ascii="Times New Roman" w:hAnsi="Times New Roman" w:eastAsia="仿宋_GB2312" w:cs="仿宋_GB2312"/>
          <w:color w:val="auto"/>
          <w:kern w:val="2"/>
          <w:sz w:val="32"/>
          <w:szCs w:val="32"/>
          <w:highlight w:val="none"/>
          <w:lang w:val="en-US" w:eastAsia="zh-CN" w:bidi="ar-SA"/>
        </w:rPr>
        <w:t>共有车辆（F03表</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行4栏）</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执法执勤用车（</w:t>
      </w:r>
      <w:r>
        <w:rPr>
          <w:rFonts w:hint="eastAsia" w:ascii="Times New Roman" w:hAnsi="Times New Roman" w:eastAsia="仿宋_GB2312" w:cs="仿宋_GB2312"/>
          <w:color w:val="auto"/>
          <w:kern w:val="2"/>
          <w:sz w:val="32"/>
          <w:szCs w:val="32"/>
          <w:highlight w:val="none"/>
          <w:lang w:val="en-US" w:eastAsia="zh-CN" w:bidi="ar-SA"/>
        </w:rPr>
        <w:t>F03表</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行4栏</w:t>
      </w:r>
      <w:r>
        <w:rPr>
          <w:rFonts w:hint="eastAsia" w:eastAsia="仿宋_GB2312" w:cs="仿宋_GB2312"/>
          <w:color w:val="auto"/>
          <w:kern w:val="2"/>
          <w:sz w:val="32"/>
          <w:szCs w:val="32"/>
          <w:highlight w:val="none"/>
          <w:lang w:val="en-US" w:eastAsia="zh-CN" w:bidi="ar-SA"/>
        </w:rPr>
        <w:t>）9辆、</w:t>
      </w:r>
      <w:r>
        <w:rPr>
          <w:rFonts w:hint="eastAsia" w:ascii="Times New Roman" w:hAnsi="Times New Roman" w:eastAsia="仿宋_GB2312" w:cs="仿宋_GB2312"/>
          <w:color w:val="auto"/>
          <w:kern w:val="2"/>
          <w:sz w:val="32"/>
          <w:szCs w:val="32"/>
          <w:highlight w:val="none"/>
          <w:lang w:val="en-US" w:eastAsia="zh-CN" w:bidi="ar-SA"/>
        </w:rPr>
        <w:t>其他用车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台（套）。</w:t>
      </w:r>
    </w:p>
    <w:p w14:paraId="7AD8FF7C">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28D55E1">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en-US" w:eastAsia="zh-CN"/>
        </w:rPr>
        <w:t>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荣县人民检察院--司法救助、荣县人民检察院--司法绩效项目、荣县人民检察院--办公办案项目、其他运转支出等4个项目开展了预算事前绩效评估，对4个项目编制了绩效目标，预算执行过程中，选取4个项目开展绩效监控。</w:t>
      </w:r>
    </w:p>
    <w:p w14:paraId="03FD4541">
      <w:pPr>
        <w:spacing w:line="572" w:lineRule="exact"/>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荣县人民检察院</w:t>
      </w:r>
      <w:r>
        <w:rPr>
          <w:rFonts w:hint="eastAsia" w:ascii="Times New Roman" w:hAnsi="Times New Roman" w:eastAsia="仿宋_GB2312" w:cs="仿宋_GB2312"/>
          <w:color w:val="auto"/>
          <w:kern w:val="2"/>
          <w:sz w:val="32"/>
          <w:szCs w:val="32"/>
          <w:highlight w:val="none"/>
          <w:lang w:val="en-US" w:eastAsia="zh-CN" w:bidi="ar-SA"/>
        </w:rPr>
        <w:t>整体绩效自评报告、荣县人民检察院--司法救助、荣县人民检察院--司法绩效项目、荣县人民检察院--办公办案项目、其他运转支出等专项预算项目绩效自评报告，其中，荣县人民检察院整体绩效自评得分为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荣县人民检察院在县委和市检察院的坚强领导下，在县人大及其常委会有力监督、县政府大力支持和县政协民主监督下，坚持以习近平新时代中国特色社会主义思想为指导，深入践行习近平法治思想，全面贯彻党的二十大和二十届二中、三中全会精神，认真落实《中共中央关于加强新时代检察机关法律监督工作的意见》，紧紧围绕县委“124”发展思路，立足法律监督职能，维护公平正义，全年办理各类案件1028件，为全县经济社会高质量发展提供有力司法保障；荣县人民检察院--办公办案项目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保障</w:t>
      </w:r>
      <w:r>
        <w:rPr>
          <w:rFonts w:hint="eastAsia" w:eastAsia="仿宋_GB2312" w:cs="仿宋_GB2312"/>
          <w:color w:val="auto"/>
          <w:kern w:val="2"/>
          <w:sz w:val="32"/>
          <w:szCs w:val="32"/>
          <w:highlight w:val="none"/>
          <w:lang w:val="en-US" w:eastAsia="zh-CN" w:bidi="ar-SA"/>
        </w:rPr>
        <w:t>2024年该项目保障</w:t>
      </w:r>
      <w:r>
        <w:rPr>
          <w:rFonts w:hint="eastAsia" w:ascii="Times New Roman" w:hAnsi="Times New Roman" w:eastAsia="仿宋_GB2312" w:cs="仿宋_GB2312"/>
          <w:color w:val="auto"/>
          <w:kern w:val="2"/>
          <w:sz w:val="32"/>
          <w:szCs w:val="32"/>
          <w:highlight w:val="none"/>
          <w:lang w:val="en-US" w:eastAsia="zh-CN" w:bidi="ar-SA"/>
        </w:rPr>
        <w:t>我院在职人员48人，聘用人员22人的正常办公办案，坚持稳中求进工作总基调，坚持新发展理念和城乡融合工作，稳步推进刑事、民事、行政、公益诉讼四大检察工作全面平衡充分发展</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荣县人民检察院--司法救助绩效专项预算项目绩效自评得分为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分，绩效自评综述：2024年我院在改善民生，构建更完善的社会保障体系上投入司法救助，做出了检察贡献，司法救助金的及时发放，解决了困难群众燃眉之急，有效化解矛盾纠纷，体现检察关爱</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荣县人民检察院--司法绩效项目自评得分为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分，绩效自评综述：2024年司法绩效项目的实施进一步促进检察人员办案，完成上级院下达考核目标，统筹安排用于绩效奖金的保障</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其他运转支出专项预算项目绩效自评得分为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其他运转支出项目围绕既定目标扎实推进，整体达成度较高，保障了干警食堂用餐满意度，有效激发了干警工作热情，为检察工作开展筑牢后勤保障根基，高质量完成年初设定的各项目标任务。自评报告详见附件。</w:t>
      </w:r>
    </w:p>
    <w:p w14:paraId="2A99B32C">
      <w:pPr>
        <w:pStyle w:val="7"/>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32237DD1">
      <w:pPr>
        <w:rPr>
          <w:rFonts w:hint="eastAsia"/>
          <w:lang w:val="en-US" w:eastAsia="zh-CN"/>
        </w:rPr>
      </w:pPr>
    </w:p>
    <w:p w14:paraId="61007AD6">
      <w:pPr>
        <w:pageBreakBefore w:val="0"/>
        <w:numPr>
          <w:ilvl w:val="0"/>
          <w:numId w:val="0"/>
        </w:numPr>
        <w:kinsoku/>
        <w:wordWrap/>
        <w:overflowPunct/>
        <w:topLinePunct w:val="0"/>
        <w:autoSpaceDE/>
        <w:autoSpaceDN/>
        <w:bidi w:val="0"/>
        <w:spacing w:line="572" w:lineRule="exact"/>
        <w:jc w:val="center"/>
        <w:textAlignment w:val="auto"/>
        <w:outlineLvl w:val="0"/>
        <w:rPr>
          <w:rFonts w:hint="eastAsia" w:ascii="Times New Roman" w:hAnsi="Times New Roman" w:eastAsia="黑体"/>
          <w:color w:val="auto"/>
          <w:sz w:val="44"/>
          <w:szCs w:val="44"/>
          <w:highlight w:val="none"/>
        </w:rPr>
      </w:pPr>
      <w:bookmarkStart w:id="42" w:name="_Toc15377225"/>
      <w:bookmarkStart w:id="43"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2"/>
      <w:bookmarkEnd w:id="43"/>
    </w:p>
    <w:p w14:paraId="35F9F4E8">
      <w:pPr>
        <w:pageBreakBefore w:val="0"/>
        <w:kinsoku/>
        <w:wordWrap/>
        <w:overflowPunct/>
        <w:topLinePunct w:val="0"/>
        <w:autoSpaceDE/>
        <w:autoSpaceDN/>
        <w:bidi w:val="0"/>
        <w:spacing w:line="572" w:lineRule="exact"/>
        <w:jc w:val="left"/>
        <w:textAlignment w:val="auto"/>
        <w:rPr>
          <w:rFonts w:ascii="Times New Roman" w:hAnsi="Times New Roman"/>
          <w:b/>
          <w:color w:val="auto"/>
          <w:sz w:val="44"/>
          <w:szCs w:val="44"/>
          <w:highlight w:val="none"/>
        </w:rPr>
      </w:pPr>
    </w:p>
    <w:p w14:paraId="661366F5">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w:t>
      </w:r>
      <w:r>
        <w:rPr>
          <w:rFonts w:hint="default" w:ascii="Times New Roman" w:hAnsi="Times New Roman" w:eastAsia="仿宋_GB2312" w:cs="Times New Roman"/>
          <w:color w:val="auto"/>
          <w:sz w:val="32"/>
          <w:szCs w:val="32"/>
        </w:rPr>
        <w:t>指</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从</w:t>
      </w:r>
      <w:r>
        <w:rPr>
          <w:rFonts w:hint="default" w:ascii="Times New Roman" w:hAnsi="Times New Roman" w:eastAsia="仿宋_GB2312" w:cs="Times New Roman"/>
          <w:color w:val="auto"/>
          <w:sz w:val="32"/>
          <w:szCs w:val="32"/>
          <w:lang w:val="en-US" w:eastAsia="zh-CN"/>
        </w:rPr>
        <w:t>自贡市</w:t>
      </w:r>
      <w:r>
        <w:rPr>
          <w:rFonts w:hint="default" w:ascii="Times New Roman" w:hAnsi="Times New Roman" w:eastAsia="仿宋_GB2312" w:cs="Times New Roman"/>
          <w:color w:val="auto"/>
          <w:sz w:val="32"/>
          <w:szCs w:val="32"/>
        </w:rPr>
        <w:t>财政</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取得的财政预算资金。</w:t>
      </w:r>
    </w:p>
    <w:p w14:paraId="08CA9188">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2.其他收入：</w:t>
      </w:r>
      <w:r>
        <w:rPr>
          <w:rFonts w:hint="default" w:ascii="Times New Roman" w:hAnsi="Times New Roman" w:eastAsia="仿宋_GB2312" w:cs="Times New Roman"/>
          <w:color w:val="auto"/>
          <w:sz w:val="32"/>
          <w:szCs w:val="32"/>
        </w:rPr>
        <w:t>指</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取得的</w:t>
      </w:r>
      <w:r>
        <w:rPr>
          <w:rFonts w:hint="default" w:ascii="Times New Roman" w:hAnsi="Times New Roman" w:eastAsia="仿宋_GB2312" w:cs="Times New Roman"/>
          <w:color w:val="auto"/>
          <w:sz w:val="32"/>
          <w:szCs w:val="32"/>
          <w:lang w:val="en-US" w:eastAsia="zh-CN"/>
        </w:rPr>
        <w:t>荣县财政局拨付的非同级财政拨款资金收入</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p>
    <w:p w14:paraId="03CFED7C">
      <w:pPr>
        <w:pageBreakBefore w:val="0"/>
        <w:kinsoku/>
        <w:wordWrap/>
        <w:overflowPunct/>
        <w:topLinePunct w:val="0"/>
        <w:autoSpaceDE/>
        <w:autoSpaceDN/>
        <w:bidi w:val="0"/>
        <w:spacing w:line="572"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3.年初结转和结余：</w:t>
      </w:r>
      <w:r>
        <w:rPr>
          <w:rFonts w:hint="default" w:ascii="Times New Roman" w:hAnsi="Times New Roman" w:eastAsia="仿宋_GB2312" w:cs="Times New Roman"/>
          <w:color w:val="auto"/>
          <w:sz w:val="32"/>
          <w:szCs w:val="32"/>
        </w:rPr>
        <w:t>指以前年度尚未完成、结转到本年按有关规定继续使用的资金</w:t>
      </w:r>
      <w:r>
        <w:rPr>
          <w:rFonts w:hint="default" w:ascii="Times New Roman" w:hAnsi="Times New Roman" w:eastAsia="仿宋_GB2312" w:cs="Times New Roman"/>
          <w:color w:val="auto"/>
          <w:kern w:val="2"/>
          <w:sz w:val="32"/>
          <w:szCs w:val="32"/>
          <w:highlight w:val="none"/>
          <w:lang w:val="en-US" w:eastAsia="zh-CN" w:bidi="ar-SA"/>
        </w:rPr>
        <w:t xml:space="preserve">。 </w:t>
      </w:r>
    </w:p>
    <w:p w14:paraId="71D117BE">
      <w:pPr>
        <w:pageBreakBefore w:val="0"/>
        <w:kinsoku/>
        <w:wordWrap/>
        <w:overflowPunct/>
        <w:topLinePunct w:val="0"/>
        <w:autoSpaceDE/>
        <w:autoSpaceDN/>
        <w:bidi w:val="0"/>
        <w:spacing w:line="572"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4.年末结转和结余：指单位按有关规定结转到下年或以后年度继续使用的资金。</w:t>
      </w:r>
    </w:p>
    <w:p w14:paraId="192CF704">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5.公共安全支出（类）检察（款）行政运行（项）：指检察机关日常行政运转所需的人员经费、公用经费支出。</w:t>
      </w:r>
    </w:p>
    <w:p w14:paraId="25FA93A8">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6.公共安全支出（类）检察（款）一般行政管理事务（项）：</w:t>
      </w:r>
    </w:p>
    <w:p w14:paraId="7D185CD1">
      <w:pPr>
        <w:pStyle w:val="29"/>
        <w:pageBreakBefore w:val="0"/>
        <w:kinsoku/>
        <w:wordWrap/>
        <w:overflowPunct/>
        <w:topLinePunct w:val="0"/>
        <w:bidi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指用于检察机关办案所需的业务经费支出。</w:t>
      </w:r>
    </w:p>
    <w:p w14:paraId="41442325">
      <w:pPr>
        <w:pStyle w:val="29"/>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社会保障和就业（类）行政事业单位</w:t>
      </w:r>
      <w:r>
        <w:rPr>
          <w:rFonts w:hint="eastAsia"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color w:val="auto"/>
          <w:sz w:val="32"/>
          <w:szCs w:val="32"/>
          <w:lang w:val="en-US" w:eastAsia="zh-CN"/>
        </w:rPr>
        <w:t>（款）机关事业单位基本养老保险（项）：指用于在职职工单位缴纳的养老保险。</w:t>
      </w:r>
    </w:p>
    <w:p w14:paraId="2E19E03D">
      <w:pPr>
        <w:pStyle w:val="29"/>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社会保障和就业（类）行政事业单位</w:t>
      </w:r>
      <w:r>
        <w:rPr>
          <w:rFonts w:hint="eastAsia"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color w:val="auto"/>
          <w:sz w:val="32"/>
          <w:szCs w:val="32"/>
          <w:lang w:val="en-US" w:eastAsia="zh-CN"/>
        </w:rPr>
        <w:t>（款）机关事业单位</w:t>
      </w:r>
      <w:r>
        <w:rPr>
          <w:rFonts w:hint="eastAsia" w:ascii="Times New Roman" w:hAnsi="Times New Roman" w:eastAsia="仿宋_GB2312" w:cs="Times New Roman"/>
          <w:color w:val="auto"/>
          <w:sz w:val="32"/>
          <w:szCs w:val="32"/>
          <w:lang w:val="en-US" w:eastAsia="zh-CN"/>
        </w:rPr>
        <w:t>职业年金缴费</w:t>
      </w:r>
      <w:r>
        <w:rPr>
          <w:rFonts w:hint="default" w:ascii="Times New Roman" w:hAnsi="Times New Roman" w:eastAsia="仿宋_GB2312" w:cs="Times New Roman"/>
          <w:color w:val="auto"/>
          <w:sz w:val="32"/>
          <w:szCs w:val="32"/>
          <w:lang w:val="en-US" w:eastAsia="zh-CN"/>
        </w:rPr>
        <w:t>（项）</w:t>
      </w:r>
      <w:r>
        <w:rPr>
          <w:rFonts w:hint="eastAsia" w:ascii="Times New Roman" w:hAnsi="Times New Roman" w:eastAsia="仿宋_GB2312" w:cs="Times New Roman"/>
          <w:color w:val="auto"/>
          <w:sz w:val="32"/>
          <w:szCs w:val="32"/>
          <w:lang w:val="en-US" w:eastAsia="zh-CN"/>
        </w:rPr>
        <w:t>：指用于职工退休或调出时单位记实职业年金费用。</w:t>
      </w:r>
    </w:p>
    <w:p w14:paraId="77AA31F7">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（类）</w:t>
      </w:r>
      <w:r>
        <w:rPr>
          <w:rStyle w:val="20"/>
          <w:rFonts w:hint="default" w:ascii="Times New Roman" w:hAnsi="Times New Roman" w:eastAsia="仿宋_GB2312" w:cs="Times New Roman"/>
          <w:b w:val="0"/>
          <w:bCs w:val="0"/>
          <w:color w:val="auto"/>
          <w:sz w:val="32"/>
          <w:szCs w:val="32"/>
          <w:lang w:eastAsia="zh-CN"/>
        </w:rPr>
        <w:t>行政事业单位医疗</w:t>
      </w:r>
      <w:r>
        <w:rPr>
          <w:rFonts w:hint="default" w:ascii="Times New Roman" w:hAnsi="Times New Roman" w:eastAsia="仿宋_GB2312" w:cs="Times New Roman"/>
          <w:b w:val="0"/>
          <w:bCs w:val="0"/>
          <w:color w:val="auto"/>
          <w:sz w:val="32"/>
          <w:szCs w:val="32"/>
        </w:rPr>
        <w:t>（款）</w:t>
      </w:r>
      <w:r>
        <w:rPr>
          <w:rStyle w:val="20"/>
          <w:rFonts w:hint="default" w:ascii="Times New Roman" w:hAnsi="Times New Roman" w:eastAsia="仿宋_GB2312" w:cs="Times New Roman"/>
          <w:b w:val="0"/>
          <w:bCs w:val="0"/>
          <w:color w:val="auto"/>
          <w:sz w:val="32"/>
          <w:szCs w:val="32"/>
          <w:lang w:eastAsia="zh-CN"/>
        </w:rPr>
        <w:t>行政单位医疗</w:t>
      </w:r>
      <w:r>
        <w:rPr>
          <w:rFonts w:hint="default" w:ascii="Times New Roman" w:hAnsi="Times New Roman" w:eastAsia="仿宋_GB2312" w:cs="Times New Roman"/>
          <w:b w:val="0"/>
          <w:bCs w:val="0"/>
          <w:color w:val="auto"/>
          <w:sz w:val="32"/>
          <w:szCs w:val="32"/>
        </w:rPr>
        <w:t>（项）：指用于在职职工单位缴纳的医疗保险。</w:t>
      </w:r>
    </w:p>
    <w:p w14:paraId="32C78A64">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lang w:val="en-US" w:eastAsia="zh-CN"/>
        </w:rPr>
        <w:t>（类）行政事业单位医疗（款）</w:t>
      </w:r>
      <w:r>
        <w:rPr>
          <w:rFonts w:hint="eastAsia" w:eastAsia="仿宋_GB2312" w:cs="Times New Roman"/>
          <w:color w:val="auto"/>
          <w:sz w:val="32"/>
          <w:szCs w:val="32"/>
          <w:lang w:val="en-US" w:eastAsia="zh-CN"/>
        </w:rPr>
        <w:t>公务员医疗补助</w:t>
      </w:r>
      <w:r>
        <w:rPr>
          <w:rFonts w:hint="default" w:ascii="Times New Roman" w:hAnsi="Times New Roman" w:eastAsia="仿宋_GB2312" w:cs="Times New Roman"/>
          <w:color w:val="auto"/>
          <w:sz w:val="32"/>
          <w:szCs w:val="32"/>
          <w:lang w:val="en-US" w:eastAsia="zh-CN"/>
        </w:rPr>
        <w:t>（项）：指用于在职职工</w:t>
      </w:r>
      <w:r>
        <w:rPr>
          <w:rFonts w:hint="eastAsia"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退休人员单位缴纳的医疗补助。</w:t>
      </w:r>
    </w:p>
    <w:p w14:paraId="493DE49F">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.住房保障</w:t>
      </w:r>
      <w:r>
        <w:rPr>
          <w:rFonts w:hint="eastAsia" w:eastAsia="仿宋_GB2312" w:cs="Times New Roman"/>
          <w:color w:val="auto"/>
          <w:sz w:val="32"/>
          <w:szCs w:val="32"/>
          <w:lang w:val="en-US"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住房改革支出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住房公积金</w:t>
      </w:r>
      <w:r>
        <w:rPr>
          <w:rFonts w:hint="default" w:ascii="Times New Roman" w:hAnsi="Times New Roman" w:eastAsia="仿宋_GB2312" w:cs="Times New Roman"/>
          <w:color w:val="auto"/>
          <w:sz w:val="32"/>
          <w:szCs w:val="32"/>
        </w:rPr>
        <w:t>（项）：指用于在职职工单位缴纳的住房公积金。</w:t>
      </w:r>
    </w:p>
    <w:p w14:paraId="5D055D22">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.基本支出：指为保障机构正常运转、完成日常工作任务而发生的人员</w:t>
      </w:r>
      <w:r>
        <w:rPr>
          <w:rFonts w:hint="default"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rPr>
        <w:t>支出和公用</w:t>
      </w:r>
      <w:r>
        <w:rPr>
          <w:rFonts w:hint="default"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rPr>
        <w:t>支出。</w:t>
      </w:r>
    </w:p>
    <w:p w14:paraId="0F1475EB">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.项目支出：指在基本支出之外为完成</w:t>
      </w:r>
      <w:r>
        <w:rPr>
          <w:rFonts w:hint="default" w:ascii="Times New Roman" w:hAnsi="Times New Roman" w:eastAsia="仿宋_GB2312" w:cs="Times New Roman"/>
          <w:color w:val="auto"/>
          <w:sz w:val="32"/>
          <w:szCs w:val="32"/>
          <w:lang w:eastAsia="zh-CN"/>
        </w:rPr>
        <w:t>检察</w:t>
      </w:r>
      <w:r>
        <w:rPr>
          <w:rFonts w:hint="default" w:ascii="Times New Roman" w:hAnsi="Times New Roman" w:eastAsia="仿宋_GB2312" w:cs="Times New Roman"/>
          <w:color w:val="auto"/>
          <w:sz w:val="32"/>
          <w:szCs w:val="32"/>
        </w:rPr>
        <w:t>特定</w:t>
      </w:r>
      <w:r>
        <w:rPr>
          <w:rFonts w:hint="default" w:ascii="Times New Roman" w:hAnsi="Times New Roman" w:eastAsia="仿宋_GB2312" w:cs="Times New Roman"/>
          <w:color w:val="auto"/>
          <w:sz w:val="32"/>
          <w:szCs w:val="32"/>
          <w:lang w:eastAsia="zh-CN"/>
        </w:rPr>
        <w:t>行政办案</w:t>
      </w:r>
      <w:r>
        <w:rPr>
          <w:rFonts w:hint="default" w:ascii="Times New Roman" w:hAnsi="Times New Roman" w:eastAsia="仿宋_GB2312" w:cs="Times New Roman"/>
          <w:color w:val="auto"/>
          <w:sz w:val="32"/>
          <w:szCs w:val="32"/>
        </w:rPr>
        <w:t>任务和</w:t>
      </w:r>
      <w:r>
        <w:rPr>
          <w:rFonts w:hint="default" w:ascii="Times New Roman" w:hAnsi="Times New Roman" w:eastAsia="仿宋_GB2312" w:cs="Times New Roman"/>
          <w:color w:val="auto"/>
          <w:sz w:val="32"/>
          <w:szCs w:val="32"/>
          <w:lang w:eastAsia="zh-CN"/>
        </w:rPr>
        <w:t>检察</w:t>
      </w:r>
      <w:r>
        <w:rPr>
          <w:rFonts w:hint="default" w:ascii="Times New Roman" w:hAnsi="Times New Roman" w:eastAsia="仿宋_GB2312" w:cs="Times New Roman"/>
          <w:color w:val="auto"/>
          <w:sz w:val="32"/>
          <w:szCs w:val="32"/>
        </w:rPr>
        <w:t>事业发展目标所发生的</w:t>
      </w:r>
      <w:r>
        <w:rPr>
          <w:rFonts w:hint="default"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rPr>
        <w:t xml:space="preserve">支出。 </w:t>
      </w:r>
    </w:p>
    <w:p w14:paraId="6B24D19A">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00B4DFA">
      <w:pPr>
        <w:pageBreakBefore w:val="0"/>
        <w:kinsoku/>
        <w:wordWrap/>
        <w:overflowPunct/>
        <w:topLinePunct w:val="0"/>
        <w:autoSpaceDE/>
        <w:autoSpaceDN/>
        <w:bidi w:val="0"/>
        <w:spacing w:line="572" w:lineRule="exact"/>
        <w:ind w:firstLine="64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w:t>
      </w:r>
      <w:r>
        <w:rPr>
          <w:rFonts w:hint="default" w:ascii="Times New Roman" w:hAnsi="Times New Roman" w:eastAsia="仿宋_GB2312" w:cs="Times New Roman"/>
          <w:color w:val="auto"/>
          <w:sz w:val="32"/>
          <w:szCs w:val="32"/>
          <w:lang w:val="en-US" w:eastAsia="zh-CN"/>
        </w:rPr>
        <w:t>办公费、印刷费、水费、</w:t>
      </w:r>
      <w:r>
        <w:rPr>
          <w:rFonts w:hint="default" w:ascii="Times New Roman" w:hAnsi="Times New Roman" w:eastAsia="仿宋_GB2312" w:cs="Times New Roman"/>
          <w:color w:val="auto"/>
          <w:sz w:val="32"/>
          <w:szCs w:val="32"/>
        </w:rPr>
        <w:t>电费、</w:t>
      </w:r>
      <w:r>
        <w:rPr>
          <w:rFonts w:hint="default" w:ascii="Times New Roman" w:hAnsi="Times New Roman" w:eastAsia="仿宋_GB2312" w:cs="Times New Roman"/>
          <w:color w:val="auto"/>
          <w:sz w:val="32"/>
          <w:szCs w:val="32"/>
          <w:lang w:val="en-US" w:eastAsia="zh-CN"/>
        </w:rPr>
        <w:t>劳务费、委托业务费、</w:t>
      </w:r>
      <w:r>
        <w:rPr>
          <w:rFonts w:hint="default" w:ascii="Times New Roman" w:hAnsi="Times New Roman" w:eastAsia="仿宋_GB2312" w:cs="Times New Roman"/>
          <w:color w:val="auto"/>
          <w:sz w:val="32"/>
          <w:szCs w:val="32"/>
        </w:rPr>
        <w:t>物业管理费、工会经费、其他交通费</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等。</w:t>
      </w:r>
    </w:p>
    <w:p w14:paraId="52EB9ABB">
      <w:pPr>
        <w:pageBreakBefore w:val="0"/>
        <w:kinsoku/>
        <w:wordWrap/>
        <w:overflowPunct/>
        <w:topLinePunct w:val="0"/>
        <w:autoSpaceDE/>
        <w:autoSpaceDN/>
        <w:bidi w:val="0"/>
        <w:spacing w:line="572" w:lineRule="exact"/>
        <w:jc w:val="center"/>
        <w:textAlignment w:val="auto"/>
        <w:rPr>
          <w:rStyle w:val="31"/>
          <w:rFonts w:hint="eastAsia" w:ascii="Times New Roman" w:hAnsi="Times New Roman" w:eastAsia="黑体"/>
          <w:b w:val="0"/>
          <w:color w:val="auto"/>
          <w:highlight w:val="none"/>
          <w:lang w:eastAsia="zh-CN"/>
        </w:rPr>
      </w:pPr>
      <w:bookmarkStart w:id="44"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5"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5"/>
    </w:p>
    <w:p w14:paraId="5EA42A0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A521DB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8297A94">
      <w:pPr>
        <w:keepNext w:val="0"/>
        <w:keepLines w:val="0"/>
        <w:pageBreakBefore w:val="0"/>
        <w:widowControl/>
        <w:kinsoku/>
        <w:wordWrap/>
        <w:overflowPunct/>
        <w:topLinePunct w:val="0"/>
        <w:autoSpaceDE/>
        <w:autoSpaceDN/>
        <w:bidi w:val="0"/>
        <w:spacing w:line="572"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AE5FBBB">
      <w:pPr>
        <w:keepNext w:val="0"/>
        <w:keepLines w:val="0"/>
        <w:pageBreakBefore w:val="0"/>
        <w:widowControl w:val="0"/>
        <w:suppressLineNumbers w:val="0"/>
        <w:kinsoku/>
        <w:wordWrap/>
        <w:overflowPunct/>
        <w:topLinePunct w:val="0"/>
        <w:autoSpaceDE/>
        <w:autoSpaceDN/>
        <w:bidi w:val="0"/>
        <w:spacing w:before="0" w:beforeAutospacing="0" w:afterAutospacing="0" w:line="560" w:lineRule="exact"/>
        <w:ind w:left="0" w:leftChars="0" w:right="0"/>
        <w:jc w:val="center"/>
        <w:textAlignment w:val="auto"/>
        <w:rPr>
          <w:rFonts w:hint="eastAsia"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color w:val="000000"/>
          <w:kern w:val="0"/>
          <w:sz w:val="40"/>
          <w:szCs w:val="40"/>
          <w:lang w:val="en-US" w:eastAsia="zh-CN" w:bidi="ar"/>
        </w:rPr>
        <w:t>荣县人民检察院</w:t>
      </w:r>
    </w:p>
    <w:p w14:paraId="7883FC68">
      <w:pPr>
        <w:keepNext w:val="0"/>
        <w:keepLines w:val="0"/>
        <w:pageBreakBefore w:val="0"/>
        <w:widowControl w:val="0"/>
        <w:suppressLineNumbers w:val="0"/>
        <w:kinsoku/>
        <w:wordWrap/>
        <w:overflowPunct/>
        <w:topLinePunct w:val="0"/>
        <w:autoSpaceDE/>
        <w:autoSpaceDN/>
        <w:bidi w:val="0"/>
        <w:spacing w:before="0" w:beforeAutospacing="0" w:afterAutospacing="0" w:line="560" w:lineRule="exact"/>
        <w:ind w:left="0" w:leftChars="0" w:right="0"/>
        <w:jc w:val="center"/>
        <w:textAlignment w:val="auto"/>
        <w:rPr>
          <w:rFonts w:hint="default" w:ascii="Times New Roman" w:hAnsi="Times New Roman" w:eastAsia="仿宋_GB2312" w:cs="Times New Roman"/>
          <w:sz w:val="32"/>
          <w:szCs w:val="32"/>
          <w:highlight w:val="none"/>
          <w:shd w:val="clear" w:color="auto" w:fill="FFFFFF"/>
        </w:rPr>
      </w:pPr>
      <w:r>
        <w:rPr>
          <w:rFonts w:hint="eastAsia" w:ascii="方正小标宋简体" w:hAnsi="方正小标宋简体" w:eastAsia="方正小标宋简体" w:cs="方正小标宋简体"/>
          <w:color w:val="000000"/>
          <w:kern w:val="0"/>
          <w:sz w:val="40"/>
          <w:szCs w:val="40"/>
          <w:lang w:val="en-US" w:eastAsia="zh-CN" w:bidi="ar"/>
        </w:rPr>
        <w:t>2024年</w:t>
      </w:r>
      <w:r>
        <w:rPr>
          <w:rFonts w:hint="eastAsia" w:ascii="方正小标宋简体" w:hAnsi="方正小标宋简体" w:eastAsia="方正小标宋简体" w:cs="方正小标宋简体"/>
          <w:color w:val="000000"/>
          <w:kern w:val="0"/>
          <w:sz w:val="40"/>
          <w:szCs w:val="40"/>
          <w:lang w:eastAsia="zh-CN" w:bidi="ar"/>
        </w:rPr>
        <w:t>整体支出绩效</w:t>
      </w:r>
      <w:r>
        <w:rPr>
          <w:rFonts w:hint="eastAsia" w:ascii="方正小标宋简体" w:hAnsi="方正小标宋简体" w:eastAsia="方正小标宋简体" w:cs="方正小标宋简体"/>
          <w:color w:val="000000"/>
          <w:kern w:val="0"/>
          <w:sz w:val="40"/>
          <w:szCs w:val="40"/>
          <w:lang w:val="en-US" w:eastAsia="zh-CN" w:bidi="ar"/>
        </w:rPr>
        <w:t>自评报告</w:t>
      </w:r>
    </w:p>
    <w:p w14:paraId="73F8B107">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D7DECA6">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7D896FD3">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2EF7D4E6">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自2019年内设机构改革后，我院共设办公室、政治部（下设司法警察大队）、第一检察部、第二检察部、第三检察部、第四检察部、第五检察部、综合业务部共8个职能业务部门。</w:t>
      </w:r>
    </w:p>
    <w:p w14:paraId="632E8781">
      <w:pPr>
        <w:keepNext w:val="0"/>
        <w:keepLines w:val="0"/>
        <w:pageBreakBefore w:val="0"/>
        <w:widowControl/>
        <w:numPr>
          <w:ilvl w:val="0"/>
          <w:numId w:val="2"/>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p>
    <w:p w14:paraId="11ACCF55">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荣县人民检察院是国家的法律监督机关，对县人民代表大会及其常务委员会负责并报告工作。主要任务是通过行使检察权，追诉犯罪，维护国家安全和社会秩序，维护个人和组织的合法权益，维护国家利益和社会公共利益，保障法律正确实施，维护社会公平正义，维护国家法制统一、尊严和权威，保障中国特色社会主义建设的顺利进行。</w:t>
      </w:r>
    </w:p>
    <w:p w14:paraId="05857453">
      <w:pPr>
        <w:keepNext w:val="0"/>
        <w:keepLines w:val="0"/>
        <w:pageBreakBefore w:val="0"/>
        <w:widowControl w:val="0"/>
        <w:numPr>
          <w:ilvl w:val="0"/>
          <w:numId w:val="2"/>
        </w:numPr>
        <w:kinsoku/>
        <w:wordWrap/>
        <w:overflowPunct/>
        <w:topLinePunct w:val="0"/>
        <w:autoSpaceDE/>
        <w:autoSpaceDN/>
        <w:bidi w:val="0"/>
        <w:adjustRightInd/>
        <w:snapToGrid/>
        <w:spacing w:line="572"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p>
    <w:p w14:paraId="5F34BEE7">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我院2024年年末实有政法专项编制4</w:t>
      </w:r>
      <w:r>
        <w:rPr>
          <w:rFonts w:hint="eastAsia" w:ascii="Times New Roman" w:hAnsi="Times New Roman" w:cs="Times New Roman"/>
          <w:kern w:val="2"/>
          <w:sz w:val="32"/>
          <w:szCs w:val="24"/>
          <w:lang w:val="en-US" w:eastAsia="zh-CN" w:bidi="ar-SA"/>
        </w:rPr>
        <w:t>8</w:t>
      </w:r>
      <w:r>
        <w:rPr>
          <w:rFonts w:hint="eastAsia" w:ascii="Times New Roman" w:hAnsi="Times New Roman" w:eastAsia="仿宋_GB2312" w:cs="Times New Roman"/>
          <w:kern w:val="2"/>
          <w:sz w:val="32"/>
          <w:szCs w:val="24"/>
          <w:lang w:val="en-US" w:eastAsia="zh-CN" w:bidi="ar-SA"/>
        </w:rPr>
        <w:t>人，工勤编制2人，聘用制书记员22人，退休人员32人，遗属</w:t>
      </w:r>
      <w:r>
        <w:rPr>
          <w:rFonts w:hint="eastAsia" w:cs="Times New Roman"/>
          <w:kern w:val="2"/>
          <w:sz w:val="32"/>
          <w:szCs w:val="24"/>
          <w:lang w:val="en-US" w:eastAsia="zh-CN" w:bidi="ar-SA"/>
        </w:rPr>
        <w:t>1</w:t>
      </w:r>
      <w:r>
        <w:rPr>
          <w:rFonts w:hint="eastAsia" w:ascii="Times New Roman" w:hAnsi="Times New Roman" w:eastAsia="仿宋_GB2312" w:cs="Times New Roman"/>
          <w:kern w:val="2"/>
          <w:sz w:val="32"/>
          <w:szCs w:val="24"/>
          <w:lang w:val="en-US" w:eastAsia="zh-CN" w:bidi="ar-SA"/>
        </w:rPr>
        <w:t>人。</w:t>
      </w:r>
    </w:p>
    <w:p w14:paraId="754EA8FC">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FD6E195">
      <w:pPr>
        <w:keepNext w:val="0"/>
        <w:keepLines w:val="0"/>
        <w:pageBreakBefore w:val="0"/>
        <w:kinsoku/>
        <w:wordWrap/>
        <w:overflowPunct/>
        <w:topLinePunct w:val="0"/>
        <w:autoSpaceDE/>
        <w:autoSpaceDN/>
        <w:bidi w:val="0"/>
        <w:snapToGrid w:val="0"/>
        <w:spacing w:line="560" w:lineRule="exact"/>
        <w:ind w:left="0"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p>
    <w:p w14:paraId="47A54CC6">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荣县人民检察院2024年一般公共预算财政拨款收入1472.64万元，其他收入344.03万元，其中公共安全支出收入1574.96万元，占总收入的86.69%，社会保障和就业支出收入99.70万元，占总收入的5.49%，卫生健康支出收入59.81万元，占总收入的3.29%，住房保障支出收入90.35万元，占总收入的4.97%。</w:t>
      </w:r>
    </w:p>
    <w:p w14:paraId="49862391">
      <w:pPr>
        <w:keepNext w:val="0"/>
        <w:keepLines w:val="0"/>
        <w:pageBreakBefore w:val="0"/>
        <w:widowControl/>
        <w:numPr>
          <w:ilvl w:val="0"/>
          <w:numId w:val="3"/>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p>
    <w:p w14:paraId="75C657C3">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荣县人民检察院2024年总支出1824.81万元，其中公共安全支出1574.95万元，占总支出的86.31%，社会保障和就业支出99.70万元，占总支出的5.46%，卫生健康支出59.81万元，占总支出的3.28%，住房保障支出90.35万元，占总支出的4.95%。</w:t>
      </w:r>
    </w:p>
    <w:p w14:paraId="0FCF75B5">
      <w:pPr>
        <w:keepNext w:val="0"/>
        <w:keepLines w:val="0"/>
        <w:pageBreakBefore w:val="0"/>
        <w:widowControl/>
        <w:numPr>
          <w:ilvl w:val="0"/>
          <w:numId w:val="3"/>
        </w:numPr>
        <w:kinsoku/>
        <w:wordWrap/>
        <w:overflowPunct/>
        <w:topLinePunct w:val="0"/>
        <w:autoSpaceDE/>
        <w:autoSpaceDN/>
        <w:bidi w:val="0"/>
        <w:adjustRightInd w:val="0"/>
        <w:snapToGrid w:val="0"/>
        <w:spacing w:line="572"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p>
    <w:p w14:paraId="61395088">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仿宋_GB2312" w:cs="Times New Roman"/>
          <w:kern w:val="2"/>
          <w:sz w:val="32"/>
          <w:szCs w:val="24"/>
          <w:lang w:val="zh-CN" w:eastAsia="zh-CN" w:bidi="ar-SA"/>
        </w:rPr>
      </w:pPr>
      <w:r>
        <w:rPr>
          <w:rFonts w:hint="eastAsia" w:ascii="Times New Roman" w:hAnsi="Times New Roman" w:eastAsia="仿宋_GB2312" w:cs="Times New Roman"/>
          <w:kern w:val="2"/>
          <w:sz w:val="32"/>
          <w:szCs w:val="24"/>
          <w:lang w:val="en-US" w:eastAsia="zh-CN" w:bidi="ar-SA"/>
        </w:rPr>
        <w:t>荣县人民检察院</w:t>
      </w:r>
      <w:r>
        <w:rPr>
          <w:rFonts w:hint="default" w:ascii="Times New Roman" w:hAnsi="Times New Roman" w:eastAsia="仿宋_GB2312" w:cs="Times New Roman"/>
          <w:kern w:val="2"/>
          <w:sz w:val="32"/>
          <w:szCs w:val="24"/>
          <w:lang w:val="en-US" w:eastAsia="zh-CN" w:bidi="ar-SA"/>
        </w:rPr>
        <w:t>202</w:t>
      </w: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en-US" w:eastAsia="zh-CN" w:bidi="ar-SA"/>
        </w:rPr>
        <w:t>年</w:t>
      </w:r>
      <w:r>
        <w:rPr>
          <w:rFonts w:hint="eastAsia" w:ascii="Times New Roman" w:hAnsi="Times New Roman" w:eastAsia="仿宋_GB2312" w:cs="Times New Roman"/>
          <w:kern w:val="2"/>
          <w:sz w:val="32"/>
          <w:szCs w:val="24"/>
          <w:lang w:val="en-US" w:eastAsia="zh-CN" w:bidi="ar-SA"/>
        </w:rPr>
        <w:t>年末</w:t>
      </w:r>
      <w:r>
        <w:rPr>
          <w:rFonts w:hint="default" w:ascii="Times New Roman" w:hAnsi="Times New Roman" w:eastAsia="仿宋_GB2312" w:cs="Times New Roman"/>
          <w:kern w:val="2"/>
          <w:sz w:val="32"/>
          <w:szCs w:val="24"/>
          <w:lang w:val="en-US" w:eastAsia="zh-CN" w:bidi="ar-SA"/>
        </w:rPr>
        <w:t>结转</w:t>
      </w:r>
      <w:r>
        <w:rPr>
          <w:rFonts w:hint="eastAsia" w:ascii="Times New Roman" w:hAnsi="Times New Roman" w:eastAsia="仿宋_GB2312" w:cs="Times New Roman"/>
          <w:kern w:val="2"/>
          <w:sz w:val="32"/>
          <w:szCs w:val="24"/>
          <w:lang w:val="en-US" w:eastAsia="zh-CN" w:bidi="ar-SA"/>
        </w:rPr>
        <w:t>资金29.70万元，均为荣县财政非同级拨款结转资金</w:t>
      </w:r>
      <w:r>
        <w:rPr>
          <w:rFonts w:hint="default" w:ascii="Times New Roman" w:hAnsi="Times New Roman" w:eastAsia="仿宋_GB2312" w:cs="Times New Roman"/>
          <w:kern w:val="2"/>
          <w:sz w:val="32"/>
          <w:szCs w:val="24"/>
          <w:lang w:val="en-US" w:eastAsia="zh-CN" w:bidi="ar-SA"/>
        </w:rPr>
        <w:t>。</w:t>
      </w:r>
    </w:p>
    <w:p w14:paraId="1619B22A">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348A0DD1">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6FB9E8B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cs="Times New Roman"/>
          <w:sz w:val="32"/>
          <w:szCs w:val="32"/>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w:t>
      </w:r>
      <w:r>
        <w:rPr>
          <w:rFonts w:hint="eastAsia" w:ascii="Times New Roman" w:hAnsi="Times New Roman" w:eastAsia="仿宋_GB2312" w:cs="Times New Roman"/>
          <w:kern w:val="2"/>
          <w:sz w:val="32"/>
          <w:szCs w:val="24"/>
          <w:lang w:val="en-US" w:eastAsia="zh-CN" w:bidi="ar-SA"/>
        </w:rPr>
        <w:t>以习近平新时代中国特色社会主义思想为指导，全面贯彻习近平法治思想，认真落实《中共中央关于加强新时代检察机关法律监督工作的意见》，聚焦荣县县委“124”发展思路，充分履行法律监督职责，始终坚持为大局服务、为人民司法、为法治担当，深度培育我院“益+清”、“梧桐树检察官”等一系列专业化办案团队、“检民一路”文化品牌等检察办案业务亮点，进一步提升履职效能，树牢案例思维，做到以学促行，在全面建设社会主义现代化国家新征程上奋力谱写新时代荣县检察高质量发展新篇章。</w:t>
      </w:r>
    </w:p>
    <w:p w14:paraId="5FA22691">
      <w:pPr>
        <w:pStyle w:val="7"/>
        <w:keepNext w:val="0"/>
        <w:keepLines w:val="0"/>
        <w:pageBreakBefore w:val="0"/>
        <w:kinsoku/>
        <w:wordWrap/>
        <w:overflowPunct/>
        <w:topLinePunct w:val="0"/>
        <w:autoSpaceDE/>
        <w:autoSpaceDN/>
        <w:bidi w:val="0"/>
        <w:spacing w:line="560" w:lineRule="exact"/>
        <w:ind w:left="0" w:leftChars="0"/>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r>
        <w:rPr>
          <w:rFonts w:hint="eastAsia" w:ascii="Times New Roman" w:hAnsi="Times New Roman" w:eastAsia="仿宋_GB2312" w:cs="Times New Roman"/>
          <w:kern w:val="2"/>
          <w:sz w:val="32"/>
          <w:szCs w:val="24"/>
          <w:lang w:val="en-US" w:eastAsia="zh-CN" w:bidi="ar-SA"/>
        </w:rPr>
        <w:t>我院2024年所有预算项目的实施积极推动了新时代检察工作的进一步提高，保障了我院检察办案、办公、智慧检务和检察技术辅助装备的工作经费，确保了新时代检察机关法律监督职能和公正司法水平的高质量发展。在全年实际执行过程中，我院充分完成了年初预算目标，科学合理实现支出，严格控制，在财政下达项目预算指标后，及时按需分配资金，按财政要求进行执行过程中的绩效监控工作，年终考核时预算执行率均达到100%，减少了结余资金，全年无任何违规记录。</w:t>
      </w:r>
    </w:p>
    <w:p w14:paraId="02713FE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财务管理。</w:t>
      </w:r>
      <w:r>
        <w:rPr>
          <w:rFonts w:hint="eastAsia" w:ascii="Times New Roman" w:hAnsi="Times New Roman" w:eastAsia="仿宋_GB2312" w:cs="Times New Roman"/>
          <w:kern w:val="2"/>
          <w:sz w:val="32"/>
          <w:szCs w:val="24"/>
          <w:lang w:val="zh-CN" w:eastAsia="zh-CN" w:bidi="ar-SA"/>
        </w:rPr>
        <w:t>我院目前财务管理严格按照财政要求进行制度落实，按照所建立的内控制度，按要求设置财务岗位，严格监控资金使用规范性，定期按财政要求进行绩效分析。</w:t>
      </w:r>
    </w:p>
    <w:p w14:paraId="371179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rPr>
        <w:t>资产管理。</w:t>
      </w:r>
      <w:r>
        <w:rPr>
          <w:rFonts w:hint="eastAsia" w:ascii="Times New Roman" w:hAnsi="Times New Roman" w:eastAsia="仿宋_GB2312" w:cs="Times New Roman"/>
          <w:kern w:val="2"/>
          <w:sz w:val="32"/>
          <w:szCs w:val="24"/>
          <w:lang w:val="en-US" w:eastAsia="zh-CN" w:bidi="ar-SA"/>
        </w:rPr>
        <w:t>2024年我院人均资产率无较大变化，资产管理由在编人员进行负责，并按机关事务管理局及财政局要求每年进行资产清查，确保资产管理清晰合规</w:t>
      </w:r>
      <w:r>
        <w:rPr>
          <w:rFonts w:hint="default" w:ascii="Times New Roman" w:hAnsi="Times New Roman" w:eastAsia="仿宋_GB2312" w:cs="Times New Roman"/>
          <w:kern w:val="2"/>
          <w:sz w:val="32"/>
          <w:szCs w:val="24"/>
          <w:lang w:val="zh-CN" w:eastAsia="zh-CN" w:bidi="ar-SA"/>
        </w:rPr>
        <w:t>。</w:t>
      </w:r>
    </w:p>
    <w:p w14:paraId="1494911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rPr>
        <w:t>采购管理。</w:t>
      </w:r>
      <w:r>
        <w:rPr>
          <w:rFonts w:hint="eastAsia" w:ascii="Times New Roman" w:hAnsi="Times New Roman" w:eastAsia="仿宋_GB2312" w:cs="Times New Roman"/>
          <w:kern w:val="2"/>
          <w:sz w:val="32"/>
          <w:szCs w:val="24"/>
          <w:lang w:val="en-US" w:eastAsia="zh-CN" w:bidi="ar-SA"/>
        </w:rPr>
        <w:t>2024年我院按相关政策要求</w:t>
      </w:r>
      <w:r>
        <w:rPr>
          <w:rFonts w:hint="default" w:ascii="Times New Roman" w:hAnsi="Times New Roman" w:eastAsia="仿宋_GB2312" w:cs="Times New Roman"/>
          <w:kern w:val="2"/>
          <w:sz w:val="32"/>
          <w:szCs w:val="24"/>
          <w:lang w:val="zh-CN" w:eastAsia="zh-CN" w:bidi="ar-SA"/>
        </w:rPr>
        <w:t>支持中小企业发展</w:t>
      </w:r>
      <w:r>
        <w:rPr>
          <w:rFonts w:hint="eastAsia" w:ascii="Times New Roman" w:hAnsi="Times New Roman" w:eastAsia="仿宋_GB2312" w:cs="Times New Roman"/>
          <w:kern w:val="2"/>
          <w:sz w:val="32"/>
          <w:szCs w:val="24"/>
          <w:lang w:val="zh-CN" w:eastAsia="zh-CN" w:bidi="ar-SA"/>
        </w:rPr>
        <w:t>，定点进行公务用车维修、加油、保险等</w:t>
      </w:r>
      <w:r>
        <w:rPr>
          <w:rFonts w:hint="default" w:ascii="Times New Roman" w:hAnsi="Times New Roman" w:eastAsia="仿宋_GB2312" w:cs="Times New Roman"/>
          <w:kern w:val="2"/>
          <w:sz w:val="32"/>
          <w:szCs w:val="24"/>
          <w:lang w:val="zh-CN" w:eastAsia="zh-CN" w:bidi="ar-SA"/>
        </w:rPr>
        <w:t>采购</w:t>
      </w:r>
      <w:r>
        <w:rPr>
          <w:rFonts w:hint="eastAsia" w:ascii="Times New Roman" w:hAnsi="Times New Roman" w:eastAsia="仿宋_GB2312" w:cs="Times New Roman"/>
          <w:kern w:val="2"/>
          <w:sz w:val="32"/>
          <w:szCs w:val="24"/>
          <w:lang w:val="zh-CN" w:eastAsia="zh-CN" w:bidi="ar-SA"/>
        </w:rPr>
        <w:t>，采购</w:t>
      </w:r>
      <w:r>
        <w:rPr>
          <w:rFonts w:hint="default" w:ascii="Times New Roman" w:hAnsi="Times New Roman" w:eastAsia="仿宋_GB2312" w:cs="Times New Roman"/>
          <w:kern w:val="2"/>
          <w:sz w:val="32"/>
          <w:szCs w:val="24"/>
          <w:lang w:val="zh-CN" w:eastAsia="zh-CN" w:bidi="ar-SA"/>
        </w:rPr>
        <w:t>执行率</w:t>
      </w:r>
      <w:r>
        <w:rPr>
          <w:rFonts w:hint="eastAsia" w:ascii="Times New Roman" w:hAnsi="Times New Roman" w:eastAsia="仿宋_GB2312" w:cs="Times New Roman"/>
          <w:kern w:val="2"/>
          <w:sz w:val="32"/>
          <w:szCs w:val="24"/>
          <w:lang w:val="zh-CN" w:eastAsia="zh-CN" w:bidi="ar-SA"/>
        </w:rPr>
        <w:t>为</w:t>
      </w:r>
      <w:r>
        <w:rPr>
          <w:rFonts w:hint="eastAsia" w:ascii="Times New Roman" w:hAnsi="Times New Roman" w:eastAsia="仿宋_GB2312" w:cs="Times New Roman"/>
          <w:kern w:val="2"/>
          <w:sz w:val="32"/>
          <w:szCs w:val="24"/>
          <w:lang w:val="en-US" w:eastAsia="zh-CN" w:bidi="ar-SA"/>
        </w:rPr>
        <w:t>100%</w:t>
      </w:r>
      <w:r>
        <w:rPr>
          <w:rFonts w:hint="default" w:ascii="Times New Roman" w:hAnsi="Times New Roman" w:eastAsia="仿宋_GB2312" w:cs="Times New Roman"/>
          <w:kern w:val="2"/>
          <w:sz w:val="32"/>
          <w:szCs w:val="24"/>
          <w:lang w:val="zh-CN" w:eastAsia="zh-CN" w:bidi="ar-SA"/>
        </w:rPr>
        <w:t>。</w:t>
      </w:r>
    </w:p>
    <w:p w14:paraId="6D8BEA6A">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C8720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eastAsia"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cs="Times New Roman"/>
          <w:color w:val="000000"/>
          <w:kern w:val="0"/>
          <w:sz w:val="32"/>
          <w:szCs w:val="32"/>
          <w:highlight w:val="none"/>
          <w:shd w:val="clear" w:color="auto" w:fill="FFFFFF"/>
          <w:lang w:val="en-US" w:eastAsia="zh-CN"/>
        </w:rPr>
        <w:t>239.96</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6630687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w:t>
      </w:r>
      <w:r>
        <w:rPr>
          <w:rFonts w:hint="eastAsia" w:ascii="Times New Roman" w:hAnsi="Times New Roman" w:eastAsia="仿宋_GB2312" w:cs="Times New Roman"/>
          <w:color w:val="000000"/>
          <w:kern w:val="0"/>
          <w:sz w:val="32"/>
          <w:szCs w:val="32"/>
          <w:highlight w:val="none"/>
          <w:shd w:val="clear" w:color="auto" w:fill="FFFFFF"/>
          <w:lang w:val="en-US" w:eastAsia="zh-CN"/>
        </w:rPr>
        <w:t>含</w:t>
      </w:r>
      <w:r>
        <w:rPr>
          <w:rFonts w:hint="default" w:ascii="Times New Roman" w:hAnsi="Times New Roman" w:eastAsia="仿宋_GB2312" w:cs="Times New Roman"/>
          <w:color w:val="000000"/>
          <w:kern w:val="0"/>
          <w:sz w:val="32"/>
          <w:szCs w:val="32"/>
          <w:highlight w:val="none"/>
          <w:shd w:val="clear" w:color="auto" w:fill="FFFFFF"/>
          <w:lang w:val="en-US" w:eastAsia="zh-CN"/>
        </w:rPr>
        <w:t>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3EAED8C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r>
        <w:rPr>
          <w:rFonts w:hint="eastAsia" w:ascii="Times New Roman" w:hAnsi="Times New Roman" w:eastAsia="仿宋_GB2312" w:cs="Times New Roman"/>
          <w:kern w:val="2"/>
          <w:sz w:val="32"/>
          <w:szCs w:val="24"/>
          <w:lang w:val="zh-CN" w:eastAsia="zh-CN" w:bidi="ar-SA"/>
        </w:rPr>
        <w:t>项目设立按规定履行了评估论证、申报程序，项目目标设置与业务计划、资金配比项匹配，目标设置科学合理，并按财政要求及时入库。</w:t>
      </w:r>
    </w:p>
    <w:p w14:paraId="49B7E1F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kern w:val="2"/>
          <w:sz w:val="32"/>
          <w:szCs w:val="24"/>
          <w:lang w:val="zh-CN" w:eastAsia="zh-CN" w:bidi="ar-SA"/>
        </w:rPr>
        <w:t>项目</w:t>
      </w:r>
      <w:r>
        <w:rPr>
          <w:rFonts w:hint="default" w:ascii="Times New Roman" w:hAnsi="Times New Roman" w:eastAsia="仿宋_GB2312" w:cs="Times New Roman"/>
          <w:kern w:val="2"/>
          <w:sz w:val="32"/>
          <w:szCs w:val="24"/>
          <w:lang w:val="zh-CN" w:eastAsia="zh-CN" w:bidi="ar-SA"/>
        </w:rPr>
        <w:t>资金执行</w:t>
      </w:r>
      <w:r>
        <w:rPr>
          <w:rFonts w:hint="eastAsia" w:ascii="Times New Roman" w:hAnsi="Times New Roman" w:eastAsia="仿宋_GB2312" w:cs="Times New Roman"/>
          <w:kern w:val="2"/>
          <w:sz w:val="32"/>
          <w:szCs w:val="24"/>
          <w:lang w:val="zh-CN" w:eastAsia="zh-CN" w:bidi="ar-SA"/>
        </w:rPr>
        <w:t>列支内容与绩效目标设置方向基本一致同向。</w:t>
      </w:r>
    </w:p>
    <w:p w14:paraId="57C0EF2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kern w:val="2"/>
          <w:sz w:val="32"/>
          <w:szCs w:val="24"/>
          <w:lang w:val="en-US"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r>
        <w:rPr>
          <w:rFonts w:hint="eastAsia" w:ascii="Times New Roman" w:hAnsi="Times New Roman" w:eastAsia="仿宋_GB2312" w:cs="Times New Roman"/>
          <w:kern w:val="2"/>
          <w:sz w:val="32"/>
          <w:szCs w:val="24"/>
          <w:lang w:val="zh-CN" w:eastAsia="zh-CN" w:bidi="ar-SA"/>
        </w:rPr>
        <w:t>项目在执行过程中充分围绕绩效</w:t>
      </w:r>
      <w:r>
        <w:rPr>
          <w:rFonts w:hint="default" w:ascii="Times New Roman" w:hAnsi="Times New Roman" w:eastAsia="仿宋_GB2312" w:cs="Times New Roman"/>
          <w:kern w:val="2"/>
          <w:sz w:val="32"/>
          <w:szCs w:val="24"/>
          <w:lang w:val="zh-CN" w:eastAsia="zh-CN" w:bidi="ar-SA"/>
        </w:rPr>
        <w:t>目标</w:t>
      </w:r>
      <w:r>
        <w:rPr>
          <w:rFonts w:hint="eastAsia" w:ascii="Times New Roman" w:hAnsi="Times New Roman" w:eastAsia="仿宋_GB2312" w:cs="Times New Roman"/>
          <w:kern w:val="2"/>
          <w:sz w:val="32"/>
          <w:szCs w:val="24"/>
          <w:lang w:val="zh-CN" w:eastAsia="zh-CN" w:bidi="ar-SA"/>
        </w:rPr>
        <w:t>设定进行开展，并在过程中及时按要求合理合规进行调整，确保年度绩效目标的充分实现</w:t>
      </w:r>
      <w:r>
        <w:rPr>
          <w:rFonts w:hint="eastAsia" w:ascii="Times New Roman" w:hAnsi="Times New Roman" w:eastAsia="仿宋_GB2312" w:cs="Times New Roman"/>
          <w:kern w:val="2"/>
          <w:sz w:val="32"/>
          <w:szCs w:val="24"/>
          <w:lang w:val="en-US" w:eastAsia="zh-CN" w:bidi="ar-SA"/>
        </w:rPr>
        <w:t>。</w:t>
      </w:r>
    </w:p>
    <w:p w14:paraId="2D298834">
      <w:pPr>
        <w:keepNext w:val="0"/>
        <w:keepLines w:val="0"/>
        <w:pageBreakBefore w:val="0"/>
        <w:widowControl w:val="0"/>
        <w:kinsoku/>
        <w:wordWrap/>
        <w:overflowPunct/>
        <w:topLinePunct w:val="0"/>
        <w:autoSpaceDE/>
        <w:autoSpaceDN/>
        <w:bidi w:val="0"/>
        <w:snapToGrid w:val="0"/>
        <w:spacing w:line="572"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14:paraId="5544FCFC">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bCs w:val="0"/>
          <w:sz w:val="32"/>
          <w:szCs w:val="32"/>
        </w:rPr>
      </w:pPr>
      <w:r>
        <w:rPr>
          <w:rFonts w:hint="eastAsia" w:ascii="Times New Roman" w:hAnsi="Times New Roman" w:eastAsia="仿宋_GB2312" w:cs="Times New Roman"/>
          <w:kern w:val="2"/>
          <w:sz w:val="32"/>
          <w:szCs w:val="24"/>
          <w:lang w:val="en-US" w:eastAsia="zh-CN" w:bidi="ar-SA"/>
        </w:rPr>
        <w:t>加强部门整体绩效运行自评在单位内部财务管理、政府采购、车辆管理、食堂内部管理、国有资产管理、内控制度等全方位应用，并将自评结果按财政要求合理合规进行公开，针对自评过程中发现的问题，及时进行整改，根据自评结果和整改结果科学合理的用于开展下一年度预算执行和监控工作</w:t>
      </w:r>
      <w:r>
        <w:rPr>
          <w:rFonts w:hint="default" w:ascii="Times New Roman" w:hAnsi="Times New Roman" w:eastAsia="仿宋_GB2312" w:cs="Times New Roman"/>
          <w:kern w:val="2"/>
          <w:sz w:val="32"/>
          <w:szCs w:val="24"/>
          <w:lang w:val="zh-CN" w:eastAsia="zh-CN" w:bidi="ar-SA"/>
        </w:rPr>
        <w:t>。</w:t>
      </w:r>
    </w:p>
    <w:p w14:paraId="2D97BC7D">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AD0AD01">
      <w:pPr>
        <w:keepNext w:val="0"/>
        <w:keepLines w:val="0"/>
        <w:pageBreakBefore w:val="0"/>
        <w:widowControl/>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684B733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我单位认真开展自评工作，自评得分</w:t>
      </w:r>
      <w:r>
        <w:rPr>
          <w:rFonts w:hint="default" w:ascii="Times New Roman" w:hAnsi="Times New Roman" w:eastAsia="仿宋_GB2312" w:cs="Times New Roman"/>
          <w:sz w:val="32"/>
          <w:szCs w:val="32"/>
          <w:lang w:val="en-US" w:eastAsia="zh-CN"/>
        </w:rPr>
        <w:t>98</w:t>
      </w:r>
      <w:r>
        <w:rPr>
          <w:rFonts w:hint="eastAsia" w:ascii="仿宋_GB2312" w:hAnsi="仿宋_GB2312" w:eastAsia="仿宋_GB2312" w:cs="仿宋_GB2312"/>
          <w:sz w:val="32"/>
          <w:szCs w:val="32"/>
          <w:lang w:val="en-US" w:eastAsia="zh-CN"/>
        </w:rPr>
        <w:t>分。</w:t>
      </w:r>
    </w:p>
    <w:p w14:paraId="56040858">
      <w:pPr>
        <w:keepNext w:val="0"/>
        <w:keepLines w:val="0"/>
        <w:pageBreakBefore w:val="0"/>
        <w:widowControl/>
        <w:numPr>
          <w:ilvl w:val="0"/>
          <w:numId w:val="4"/>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6D39B9B5">
      <w:pPr>
        <w:pStyle w:val="2"/>
        <w:ind w:left="0" w:leftChars="0" w:firstLine="640" w:firstLineChars="200"/>
        <w:rPr>
          <w:rFonts w:hint="eastAsia" w:ascii="Times New Roman" w:hAnsi="Times New Roman" w:eastAsia="仿宋_GB2312" w:cs="Times New Roman"/>
          <w:sz w:val="32"/>
          <w:szCs w:val="32"/>
          <w:highlight w:val="none"/>
          <w:u w:val="none"/>
          <w:lang w:val="en-US" w:eastAsia="zh-CN" w:bidi="ar"/>
        </w:rPr>
      </w:pPr>
      <w:r>
        <w:rPr>
          <w:rFonts w:hint="eastAsia" w:ascii="仿宋_GB2312" w:hAnsi="仿宋" w:eastAsia="仿宋_GB2312"/>
          <w:sz w:val="32"/>
          <w:szCs w:val="32"/>
        </w:rPr>
        <w:t>预算编制</w:t>
      </w:r>
      <w:r>
        <w:rPr>
          <w:rFonts w:hint="eastAsia" w:ascii="仿宋_GB2312" w:hAnsi="仿宋" w:eastAsia="仿宋_GB2312"/>
          <w:sz w:val="32"/>
          <w:szCs w:val="32"/>
          <w:lang w:val="en-US" w:eastAsia="zh-CN"/>
        </w:rPr>
        <w:t>时部分预算功能科目与实际有所出入，原因为部分支出功能科目在年中测算会有政策调整</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预算执行过程中司法救助金、转移支付资金</w:t>
      </w:r>
      <w:r>
        <w:rPr>
          <w:rFonts w:hint="eastAsia" w:ascii="仿宋_GB2312" w:hAnsi="仿宋_GB2312" w:eastAsia="仿宋_GB2312" w:cs="仿宋_GB2312"/>
          <w:sz w:val="32"/>
          <w:szCs w:val="32"/>
        </w:rPr>
        <w:t>执行滞后，</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为上述款项</w:t>
      </w:r>
      <w:r>
        <w:rPr>
          <w:rFonts w:hint="eastAsia" w:ascii="仿宋_GB2312" w:hAnsi="仿宋_GB2312" w:eastAsia="仿宋_GB2312" w:cs="仿宋_GB2312"/>
          <w:sz w:val="32"/>
          <w:szCs w:val="32"/>
        </w:rPr>
        <w:t>只能用于检察</w:t>
      </w:r>
      <w:r>
        <w:rPr>
          <w:rFonts w:hint="eastAsia" w:ascii="仿宋_GB2312" w:hAnsi="仿宋_GB2312" w:eastAsia="仿宋_GB2312" w:cs="仿宋_GB2312"/>
          <w:sz w:val="32"/>
          <w:szCs w:val="32"/>
          <w:lang w:val="en-US" w:eastAsia="zh-CN"/>
        </w:rPr>
        <w:t>办案相关</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且司法救助金必须专款专用</w:t>
      </w:r>
      <w:r>
        <w:rPr>
          <w:rFonts w:hint="eastAsia" w:ascii="仿宋_GB2312" w:hAnsi="仿宋" w:eastAsia="仿宋_GB2312"/>
          <w:sz w:val="32"/>
          <w:szCs w:val="32"/>
        </w:rPr>
        <w:t>。</w:t>
      </w:r>
      <w:r>
        <w:rPr>
          <w:rFonts w:hint="eastAsia" w:ascii="仿宋_GB2312" w:hAnsi="仿宋" w:eastAsia="仿宋_GB2312"/>
          <w:sz w:val="32"/>
          <w:szCs w:val="32"/>
          <w:lang w:val="en-US" w:eastAsia="zh-CN"/>
        </w:rPr>
        <w:t>在今后的预算执行工作中将进一步</w:t>
      </w:r>
      <w:r>
        <w:rPr>
          <w:rFonts w:hint="eastAsia" w:ascii="仿宋_GB2312" w:hAnsi="仿宋" w:eastAsia="仿宋_GB2312"/>
          <w:sz w:val="32"/>
          <w:szCs w:val="32"/>
        </w:rPr>
        <w:t>严格监控预算资金的使用状况，确保预算项目的</w:t>
      </w:r>
      <w:r>
        <w:rPr>
          <w:rFonts w:hint="eastAsia" w:ascii="仿宋_GB2312" w:hAnsi="仿宋" w:eastAsia="仿宋_GB2312"/>
          <w:sz w:val="32"/>
          <w:szCs w:val="32"/>
          <w:lang w:val="en-US" w:eastAsia="zh-CN"/>
        </w:rPr>
        <w:t>预算执行力度达到财政刚性需求</w:t>
      </w:r>
      <w:r>
        <w:rPr>
          <w:rFonts w:hint="eastAsia" w:hAnsi="仿宋" w:eastAsia="仿宋_GB2312"/>
          <w:sz w:val="32"/>
          <w:szCs w:val="32"/>
          <w:lang w:val="en-US" w:eastAsia="zh-CN"/>
        </w:rPr>
        <w:t>。</w:t>
      </w:r>
    </w:p>
    <w:p w14:paraId="51D4F1AF">
      <w:pPr>
        <w:keepNext w:val="0"/>
        <w:keepLines w:val="0"/>
        <w:pageBreakBefore w:val="0"/>
        <w:widowControl/>
        <w:numPr>
          <w:ilvl w:val="0"/>
          <w:numId w:val="4"/>
        </w:numPr>
        <w:kinsoku/>
        <w:wordWrap/>
        <w:overflowPunct/>
        <w:topLinePunct w:val="0"/>
        <w:autoSpaceDE/>
        <w:autoSpaceDN/>
        <w:bidi w:val="0"/>
        <w:adjustRightInd w:val="0"/>
        <w:snapToGrid w:val="0"/>
        <w:spacing w:line="572"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p>
    <w:p w14:paraId="182A163E">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加强预算管理，确保项目的科学性。在编制年度预算时，需在充分调查研究的基础上，充分论证项目的合理性、经济性、可行性及预期效果。强化预算下达、预算执行环节指标使用先后对应，为单位进行绩效目标控制管理提供基础保障，提高单位项目支出资金使用。项目实施精细化管理水平。</w:t>
      </w:r>
    </w:p>
    <w:p w14:paraId="3E1E7459">
      <w:pPr>
        <w:pStyle w:val="2"/>
        <w:keepNext w:val="0"/>
        <w:keepLines w:val="0"/>
        <w:pageBreakBefore w:val="0"/>
        <w:numPr>
          <w:ilvl w:val="0"/>
          <w:numId w:val="0"/>
        </w:numPr>
        <w:kinsoku/>
        <w:wordWrap/>
        <w:overflowPunct/>
        <w:topLinePunct w:val="0"/>
        <w:autoSpaceDE/>
        <w:autoSpaceDN/>
        <w:bidi w:val="0"/>
        <w:spacing w:line="572" w:lineRule="exact"/>
        <w:ind w:firstLine="640" w:firstLineChars="200"/>
        <w:textAlignment w:val="auto"/>
        <w:rPr>
          <w:rFonts w:hint="eastAsia" w:ascii="仿宋_GB2312" w:hAnsi="仿宋" w:eastAsia="仿宋_GB2312" w:cs="Times New Roman"/>
          <w:kern w:val="2"/>
          <w:sz w:val="32"/>
          <w:szCs w:val="32"/>
          <w:lang w:val="zh-CN" w:eastAsia="zh-CN" w:bidi="ar-SA"/>
        </w:rPr>
      </w:pPr>
      <w:r>
        <w:rPr>
          <w:rFonts w:hint="eastAsia" w:ascii="仿宋_GB2312" w:hAnsi="仿宋" w:eastAsia="仿宋_GB2312" w:cs="Times New Roman"/>
          <w:kern w:val="2"/>
          <w:sz w:val="32"/>
          <w:szCs w:val="32"/>
          <w:lang w:val="en-US" w:eastAsia="zh-CN" w:bidi="ar-SA"/>
        </w:rPr>
        <w:t>2.加快预算执行，提高绩效目标管理水平。加强财务人员培训，熟练掌握预算编制、预算执行、调整（修改）绩效目标等各项政策，不断提高业务执行能力，不断提高绩效目标管理水平。</w:t>
      </w:r>
    </w:p>
    <w:p w14:paraId="4F8B9C44">
      <w:pPr>
        <w:pStyle w:val="2"/>
        <w:keepNext w:val="0"/>
        <w:keepLines w:val="0"/>
        <w:pageBreakBefore w:val="0"/>
        <w:numPr>
          <w:ilvl w:val="0"/>
          <w:numId w:val="0"/>
        </w:numPr>
        <w:kinsoku/>
        <w:wordWrap/>
        <w:overflowPunct/>
        <w:topLinePunct w:val="0"/>
        <w:autoSpaceDE/>
        <w:autoSpaceDN/>
        <w:bidi w:val="0"/>
        <w:spacing w:line="572" w:lineRule="exact"/>
        <w:jc w:val="center"/>
        <w:textAlignment w:val="auto"/>
        <w:rPr>
          <w:rFonts w:hint="eastAsia" w:ascii="Times New Roman" w:hAnsi="Times New Roman" w:eastAsia="仿宋_GB2312" w:cs="Times New Roman"/>
          <w:kern w:val="2"/>
          <w:sz w:val="32"/>
          <w:szCs w:val="32"/>
          <w:highlight w:val="none"/>
          <w:u w:val="none"/>
          <w:lang w:val="en-US" w:eastAsia="zh-CN" w:bidi="ar"/>
        </w:rPr>
      </w:pPr>
      <w:r>
        <w:rPr>
          <w:rFonts w:hint="eastAsia" w:ascii="Times New Roman" w:hAnsi="Times New Roman" w:eastAsia="仿宋_GB2312" w:cs="Times New Roman"/>
          <w:kern w:val="2"/>
          <w:sz w:val="32"/>
          <w:szCs w:val="32"/>
          <w:highlight w:val="none"/>
          <w:u w:val="none"/>
          <w:lang w:val="zh-CN" w:eastAsia="zh-CN" w:bidi="ar"/>
        </w:rPr>
        <w:t>附表：</w:t>
      </w:r>
      <w:r>
        <w:rPr>
          <w:rFonts w:hint="eastAsia" w:ascii="Times New Roman" w:hAnsi="Times New Roman" w:eastAsia="仿宋_GB2312" w:cs="Times New Roman"/>
          <w:kern w:val="2"/>
          <w:sz w:val="32"/>
          <w:szCs w:val="32"/>
          <w:highlight w:val="none"/>
          <w:u w:val="none"/>
          <w:lang w:val="en-US" w:eastAsia="zh-CN" w:bidi="ar"/>
        </w:rPr>
        <w:t>部门预算项目支出绩效自评表（2024年度）</w:t>
      </w:r>
    </w:p>
    <w:p w14:paraId="0B6A7550">
      <w:pPr>
        <w:pStyle w:val="8"/>
        <w:rPr>
          <w:rFonts w:hint="eastAsia" w:ascii="Times New Roman" w:hAnsi="Times New Roman" w:eastAsia="仿宋_GB2312" w:cs="Times New Roman"/>
          <w:kern w:val="2"/>
          <w:sz w:val="32"/>
          <w:szCs w:val="32"/>
          <w:highlight w:val="none"/>
          <w:u w:val="none"/>
          <w:lang w:val="en-US" w:eastAsia="zh-CN" w:bidi="ar"/>
        </w:rPr>
      </w:pPr>
    </w:p>
    <w:p w14:paraId="58051223">
      <w:pPr>
        <w:rPr>
          <w:rFonts w:hint="eastAsia" w:ascii="Times New Roman" w:hAnsi="Times New Roman" w:eastAsia="仿宋_GB2312" w:cs="Times New Roman"/>
          <w:kern w:val="2"/>
          <w:sz w:val="32"/>
          <w:szCs w:val="32"/>
          <w:highlight w:val="none"/>
          <w:u w:val="none"/>
          <w:lang w:val="en-US" w:eastAsia="zh-CN" w:bidi="ar"/>
        </w:rPr>
      </w:pPr>
    </w:p>
    <w:p w14:paraId="27E7022B">
      <w:pPr>
        <w:pStyle w:val="2"/>
        <w:rPr>
          <w:rFonts w:hint="eastAsia" w:ascii="Times New Roman" w:hAnsi="Times New Roman" w:eastAsia="仿宋_GB2312" w:cs="Times New Roman"/>
          <w:kern w:val="2"/>
          <w:sz w:val="32"/>
          <w:szCs w:val="32"/>
          <w:highlight w:val="none"/>
          <w:u w:val="none"/>
          <w:lang w:val="en-US" w:eastAsia="zh-CN" w:bidi="ar"/>
        </w:rPr>
      </w:pPr>
    </w:p>
    <w:p w14:paraId="304F2998">
      <w:pPr>
        <w:pStyle w:val="8"/>
        <w:rPr>
          <w:rFonts w:hint="eastAsia" w:ascii="Times New Roman" w:hAnsi="Times New Roman" w:eastAsia="仿宋_GB2312" w:cs="Times New Roman"/>
          <w:kern w:val="2"/>
          <w:sz w:val="32"/>
          <w:szCs w:val="32"/>
          <w:highlight w:val="none"/>
          <w:u w:val="none"/>
          <w:lang w:val="en-US" w:eastAsia="zh-CN" w:bidi="ar"/>
        </w:rPr>
      </w:pPr>
    </w:p>
    <w:p w14:paraId="2E6EA47F">
      <w:pPr>
        <w:rPr>
          <w:rFonts w:hint="eastAsia" w:ascii="Times New Roman" w:hAnsi="Times New Roman" w:eastAsia="仿宋_GB2312" w:cs="Times New Roman"/>
          <w:kern w:val="2"/>
          <w:sz w:val="32"/>
          <w:szCs w:val="32"/>
          <w:highlight w:val="none"/>
          <w:u w:val="none"/>
          <w:lang w:val="en-US" w:eastAsia="zh-CN" w:bidi="ar"/>
        </w:rPr>
      </w:pPr>
    </w:p>
    <w:p w14:paraId="7EC2C952">
      <w:pPr>
        <w:pStyle w:val="2"/>
        <w:rPr>
          <w:rFonts w:hint="eastAsia"/>
          <w:lang w:val="zh-CN" w:eastAsia="zh-CN"/>
        </w:rPr>
      </w:pPr>
    </w:p>
    <w:p w14:paraId="03387340">
      <w:pPr>
        <w:keepNext w:val="0"/>
        <w:keepLines w:val="0"/>
        <w:widowControl/>
        <w:suppressLineNumbers w:val="0"/>
        <w:jc w:val="left"/>
        <w:textAlignment w:val="center"/>
        <w:rPr>
          <w:rFonts w:ascii="宋体" w:hAnsi="宋体" w:eastAsia="宋体" w:cs="宋体"/>
          <w:i w:val="0"/>
          <w:iCs w:val="0"/>
          <w:color w:val="C0C0C0"/>
          <w:kern w:val="0"/>
          <w:sz w:val="20"/>
          <w:szCs w:val="20"/>
          <w:u w:val="none"/>
          <w:lang w:val="en-US" w:eastAsia="zh-CN" w:bidi="ar"/>
        </w:rPr>
      </w:pPr>
      <w:r>
        <w:rPr>
          <w:rFonts w:ascii="宋体" w:hAnsi="宋体" w:eastAsia="宋体" w:cs="宋体"/>
          <w:i w:val="0"/>
          <w:iCs w:val="0"/>
          <w:color w:val="C0C0C0"/>
          <w:kern w:val="0"/>
          <w:sz w:val="20"/>
          <w:szCs w:val="20"/>
          <w:u w:val="none"/>
          <w:lang w:val="en-US" w:eastAsia="zh-CN" w:bidi="ar"/>
        </w:rPr>
        <w:br w:type="page"/>
      </w:r>
    </w:p>
    <w:p w14:paraId="459AED42">
      <w:pPr>
        <w:keepNext w:val="0"/>
        <w:keepLines w:val="0"/>
        <w:widowControl/>
        <w:suppressLineNumbers w:val="0"/>
        <w:jc w:val="left"/>
        <w:textAlignment w:val="center"/>
        <w:rPr>
          <w:rFonts w:ascii="宋体" w:hAnsi="宋体" w:eastAsia="宋体" w:cs="宋体"/>
          <w:i w:val="0"/>
          <w:iCs w:val="0"/>
          <w:color w:val="C0C0C0"/>
          <w:kern w:val="0"/>
          <w:sz w:val="20"/>
          <w:szCs w:val="20"/>
          <w:u w:val="none"/>
          <w:lang w:val="en-US" w:eastAsia="zh-CN" w:bidi="ar"/>
        </w:rPr>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pPr>
    </w:p>
    <w:tbl>
      <w:tblPr>
        <w:tblStyle w:val="17"/>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2"/>
        <w:gridCol w:w="1774"/>
        <w:gridCol w:w="2263"/>
        <w:gridCol w:w="521"/>
        <w:gridCol w:w="1677"/>
        <w:gridCol w:w="521"/>
        <w:gridCol w:w="1091"/>
        <w:gridCol w:w="504"/>
        <w:gridCol w:w="456"/>
        <w:gridCol w:w="2557"/>
      </w:tblGrid>
      <w:tr w14:paraId="7729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73" w:type="dxa"/>
            <w:gridSpan w:val="4"/>
            <w:tcBorders>
              <w:top w:val="nil"/>
              <w:left w:val="nil"/>
              <w:bottom w:val="nil"/>
              <w:right w:val="nil"/>
            </w:tcBorders>
            <w:shd w:val="clear" w:color="auto" w:fill="auto"/>
            <w:vAlign w:val="center"/>
          </w:tcPr>
          <w:p w14:paraId="5B5D7390">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1" w:type="dxa"/>
            <w:tcBorders>
              <w:top w:val="nil"/>
              <w:left w:val="nil"/>
              <w:bottom w:val="nil"/>
              <w:right w:val="nil"/>
            </w:tcBorders>
            <w:shd w:val="clear" w:color="auto" w:fill="auto"/>
            <w:noWrap/>
            <w:vAlign w:val="center"/>
          </w:tcPr>
          <w:p w14:paraId="0410C878">
            <w:pPr>
              <w:rPr>
                <w:rFonts w:hint="eastAsia" w:ascii="宋体" w:hAnsi="宋体" w:eastAsia="宋体" w:cs="宋体"/>
                <w:i w:val="0"/>
                <w:iCs w:val="0"/>
                <w:color w:val="000000"/>
                <w:sz w:val="22"/>
                <w:szCs w:val="22"/>
                <w:u w:val="none"/>
              </w:rPr>
            </w:pPr>
          </w:p>
        </w:tc>
        <w:tc>
          <w:tcPr>
            <w:tcW w:w="3289" w:type="dxa"/>
            <w:gridSpan w:val="3"/>
            <w:tcBorders>
              <w:top w:val="nil"/>
              <w:left w:val="nil"/>
              <w:bottom w:val="nil"/>
              <w:right w:val="nil"/>
            </w:tcBorders>
            <w:shd w:val="clear" w:color="auto" w:fill="auto"/>
            <w:vAlign w:val="center"/>
          </w:tcPr>
          <w:p w14:paraId="1548678A">
            <w:pPr>
              <w:rPr>
                <w:rFonts w:hint="eastAsia" w:ascii="宋体" w:hAnsi="宋体" w:eastAsia="宋体" w:cs="宋体"/>
                <w:i w:val="0"/>
                <w:iCs w:val="0"/>
                <w:color w:val="000000"/>
                <w:sz w:val="20"/>
                <w:szCs w:val="20"/>
                <w:u w:val="none"/>
              </w:rPr>
            </w:pPr>
          </w:p>
        </w:tc>
        <w:tc>
          <w:tcPr>
            <w:tcW w:w="504" w:type="dxa"/>
            <w:tcBorders>
              <w:top w:val="nil"/>
              <w:left w:val="nil"/>
              <w:bottom w:val="nil"/>
              <w:right w:val="nil"/>
            </w:tcBorders>
            <w:shd w:val="clear" w:color="auto" w:fill="auto"/>
            <w:noWrap/>
            <w:vAlign w:val="center"/>
          </w:tcPr>
          <w:p w14:paraId="72BE985F">
            <w:pPr>
              <w:rPr>
                <w:rFonts w:hint="eastAsia" w:ascii="宋体" w:hAnsi="宋体" w:eastAsia="宋体" w:cs="宋体"/>
                <w:i w:val="0"/>
                <w:iCs w:val="0"/>
                <w:color w:val="000000"/>
                <w:sz w:val="22"/>
                <w:szCs w:val="22"/>
                <w:u w:val="none"/>
              </w:rPr>
            </w:pPr>
          </w:p>
        </w:tc>
        <w:tc>
          <w:tcPr>
            <w:tcW w:w="456" w:type="dxa"/>
            <w:tcBorders>
              <w:top w:val="nil"/>
              <w:left w:val="nil"/>
              <w:bottom w:val="nil"/>
              <w:right w:val="nil"/>
            </w:tcBorders>
            <w:shd w:val="clear" w:color="auto" w:fill="auto"/>
            <w:noWrap/>
            <w:vAlign w:val="center"/>
          </w:tcPr>
          <w:p w14:paraId="6A44B38E">
            <w:pPr>
              <w:rPr>
                <w:rFonts w:hint="eastAsia" w:ascii="宋体" w:hAnsi="宋体" w:eastAsia="宋体" w:cs="宋体"/>
                <w:i w:val="0"/>
                <w:iCs w:val="0"/>
                <w:color w:val="000000"/>
                <w:sz w:val="22"/>
                <w:szCs w:val="22"/>
                <w:u w:val="none"/>
              </w:rPr>
            </w:pPr>
          </w:p>
        </w:tc>
        <w:tc>
          <w:tcPr>
            <w:tcW w:w="2557" w:type="dxa"/>
            <w:tcBorders>
              <w:top w:val="nil"/>
              <w:left w:val="nil"/>
              <w:bottom w:val="nil"/>
              <w:right w:val="nil"/>
            </w:tcBorders>
            <w:shd w:val="clear" w:color="auto" w:fill="auto"/>
            <w:noWrap/>
            <w:vAlign w:val="center"/>
          </w:tcPr>
          <w:p w14:paraId="7C9FE1B5">
            <w:pPr>
              <w:rPr>
                <w:rFonts w:hint="eastAsia" w:ascii="宋体" w:hAnsi="宋体" w:eastAsia="宋体" w:cs="宋体"/>
                <w:i w:val="0"/>
                <w:iCs w:val="0"/>
                <w:color w:val="000000"/>
                <w:sz w:val="22"/>
                <w:szCs w:val="22"/>
                <w:u w:val="none"/>
              </w:rPr>
            </w:pPr>
          </w:p>
        </w:tc>
      </w:tr>
      <w:tr w14:paraId="769B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3E496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5C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F18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E4F9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51030023Y000008351611-荣县人民检察院--司法绩效项目</w:t>
            </w:r>
          </w:p>
        </w:tc>
      </w:tr>
      <w:tr w14:paraId="1981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706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9B0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荣县人民检察院部门</w:t>
            </w:r>
          </w:p>
        </w:tc>
        <w:tc>
          <w:tcPr>
            <w:tcW w:w="1091" w:type="dxa"/>
            <w:tcBorders>
              <w:top w:val="nil"/>
              <w:left w:val="nil"/>
              <w:bottom w:val="nil"/>
              <w:right w:val="nil"/>
            </w:tcBorders>
            <w:shd w:val="clear" w:color="auto" w:fill="auto"/>
            <w:vAlign w:val="center"/>
          </w:tcPr>
          <w:p w14:paraId="33944A7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70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w:t>
            </w:r>
          </w:p>
        </w:tc>
      </w:tr>
      <w:tr w14:paraId="5FFC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382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EC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C1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0253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56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41EE">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1217">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48F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用于荣县人民检察院员额检察官、司法辅助人员、司法行政人员绩效考核奖金发放，以更好的激发检察干警干事创业热情，为检察事业更优发展注入内生动力。</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70E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2024年司法绩效工作是为了进一步促进检察人员办案，完成上级院下达驾校考核目标，统筹安排用于绩效奖金的保障。</w:t>
            </w:r>
          </w:p>
        </w:tc>
      </w:tr>
      <w:tr w14:paraId="11CF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508A3">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C6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A0A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2024年我院一共实有48名政法专项编制人员纳入司法绩效专项考核，均完成绩效考核奖金发放。</w:t>
            </w:r>
          </w:p>
        </w:tc>
      </w:tr>
      <w:tr w14:paraId="1542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58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4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D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6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54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C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D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C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A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89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EA4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D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5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78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C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0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BA88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13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EDA7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A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6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A7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0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4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639A">
            <w:pPr>
              <w:rPr>
                <w:rFonts w:hint="eastAsia" w:ascii="黑体" w:hAnsi="黑体" w:eastAsia="黑体" w:cs="黑体"/>
                <w:i/>
                <w:iCs/>
                <w:color w:val="000000"/>
                <w:sz w:val="18"/>
                <w:szCs w:val="18"/>
                <w:u w:val="none"/>
              </w:rPr>
            </w:pPr>
          </w:p>
        </w:tc>
      </w:tr>
      <w:tr w14:paraId="51A6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6FA3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C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7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BB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F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8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6470">
            <w:pPr>
              <w:rPr>
                <w:rFonts w:hint="eastAsia" w:ascii="黑体" w:hAnsi="黑体" w:eastAsia="黑体" w:cs="黑体"/>
                <w:i/>
                <w:iCs/>
                <w:color w:val="000000"/>
                <w:sz w:val="18"/>
                <w:szCs w:val="18"/>
                <w:u w:val="none"/>
              </w:rPr>
            </w:pPr>
          </w:p>
        </w:tc>
      </w:tr>
      <w:tr w14:paraId="226D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9E9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2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E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A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CA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6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7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F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21F7">
            <w:pPr>
              <w:rPr>
                <w:rFonts w:hint="eastAsia" w:ascii="黑体" w:hAnsi="黑体" w:eastAsia="黑体" w:cs="黑体"/>
                <w:i/>
                <w:iCs/>
                <w:color w:val="000000"/>
                <w:sz w:val="18"/>
                <w:szCs w:val="18"/>
                <w:u w:val="none"/>
              </w:rPr>
            </w:pPr>
          </w:p>
        </w:tc>
      </w:tr>
      <w:tr w14:paraId="6F54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D58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A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7158">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1F77">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CC1A1">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13D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2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B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45A3">
            <w:pPr>
              <w:rPr>
                <w:rFonts w:hint="eastAsia" w:ascii="黑体" w:hAnsi="黑体" w:eastAsia="黑体" w:cs="黑体"/>
                <w:i/>
                <w:iCs/>
                <w:color w:val="000000"/>
                <w:sz w:val="18"/>
                <w:szCs w:val="18"/>
                <w:u w:val="none"/>
              </w:rPr>
            </w:pPr>
          </w:p>
        </w:tc>
      </w:tr>
      <w:tr w14:paraId="14A8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A9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A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0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9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0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9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7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39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4733">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6B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5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全年考核政法干警人数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4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1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7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47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3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C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5F3C">
            <w:pPr>
              <w:jc w:val="center"/>
              <w:rPr>
                <w:rFonts w:hint="eastAsia" w:ascii="微软雅黑" w:hAnsi="微软雅黑" w:eastAsia="微软雅黑" w:cs="微软雅黑"/>
                <w:i/>
                <w:iCs/>
                <w:color w:val="000000"/>
                <w:sz w:val="16"/>
                <w:szCs w:val="16"/>
                <w:u w:val="none"/>
              </w:rPr>
            </w:pPr>
          </w:p>
        </w:tc>
      </w:tr>
      <w:tr w14:paraId="2E35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BD84">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35C5">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C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E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检察官案件办理达标率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3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0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D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74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6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9B71">
            <w:pPr>
              <w:jc w:val="center"/>
              <w:rPr>
                <w:rFonts w:hint="eastAsia" w:ascii="微软雅黑" w:hAnsi="微软雅黑" w:eastAsia="微软雅黑" w:cs="微软雅黑"/>
                <w:i/>
                <w:iCs/>
                <w:color w:val="000000"/>
                <w:sz w:val="16"/>
                <w:szCs w:val="16"/>
                <w:u w:val="none"/>
              </w:rPr>
            </w:pPr>
          </w:p>
        </w:tc>
      </w:tr>
      <w:tr w14:paraId="7D42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05CC">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6645">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1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完成绩效考核及绩效发放时效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8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B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9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39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12月</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2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6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8C91">
            <w:pPr>
              <w:jc w:val="center"/>
              <w:rPr>
                <w:rFonts w:hint="eastAsia" w:ascii="微软雅黑" w:hAnsi="微软雅黑" w:eastAsia="微软雅黑" w:cs="微软雅黑"/>
                <w:i/>
                <w:iCs/>
                <w:color w:val="000000"/>
                <w:sz w:val="16"/>
                <w:szCs w:val="16"/>
                <w:u w:val="none"/>
              </w:rPr>
            </w:pPr>
          </w:p>
        </w:tc>
      </w:tr>
      <w:tr w14:paraId="4F7F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723C4">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6B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1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A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激发检察内生力量，服务基层社会治理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6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9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9856">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9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B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9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74E9">
            <w:pPr>
              <w:jc w:val="center"/>
              <w:rPr>
                <w:rFonts w:hint="eastAsia" w:ascii="微软雅黑" w:hAnsi="微软雅黑" w:eastAsia="微软雅黑" w:cs="微软雅黑"/>
                <w:i/>
                <w:iCs/>
                <w:color w:val="000000"/>
                <w:sz w:val="16"/>
                <w:szCs w:val="16"/>
                <w:u w:val="none"/>
              </w:rPr>
            </w:pPr>
          </w:p>
        </w:tc>
      </w:tr>
      <w:tr w14:paraId="5BA4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5153">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C4D3">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8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D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检察事业良性发展可持续性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D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5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2AB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0E2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4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C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6CD4">
            <w:pPr>
              <w:jc w:val="center"/>
              <w:rPr>
                <w:rFonts w:hint="eastAsia" w:ascii="微软雅黑" w:hAnsi="微软雅黑" w:eastAsia="微软雅黑" w:cs="微软雅黑"/>
                <w:i/>
                <w:iCs/>
                <w:color w:val="000000"/>
                <w:sz w:val="16"/>
                <w:szCs w:val="16"/>
                <w:u w:val="none"/>
              </w:rPr>
            </w:pPr>
          </w:p>
        </w:tc>
      </w:tr>
      <w:tr w14:paraId="7E57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4F6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4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C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A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干警对单位待遇保障的满意度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5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C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8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F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5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19A2">
            <w:pPr>
              <w:jc w:val="center"/>
              <w:rPr>
                <w:rFonts w:hint="eastAsia" w:ascii="微软雅黑" w:hAnsi="微软雅黑" w:eastAsia="微软雅黑" w:cs="微软雅黑"/>
                <w:i/>
                <w:iCs/>
                <w:color w:val="000000"/>
                <w:sz w:val="16"/>
                <w:szCs w:val="16"/>
                <w:u w:val="none"/>
              </w:rPr>
            </w:pPr>
          </w:p>
        </w:tc>
      </w:tr>
      <w:tr w14:paraId="5DF9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D29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8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2F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99E4">
            <w:pPr>
              <w:rPr>
                <w:rFonts w:hint="eastAsia" w:ascii="宋体" w:hAnsi="宋体" w:eastAsia="宋体" w:cs="宋体"/>
                <w:i w:val="0"/>
                <w:iCs w:val="0"/>
                <w:color w:val="000000"/>
                <w:sz w:val="18"/>
                <w:szCs w:val="18"/>
                <w:u w:val="none"/>
              </w:rPr>
            </w:pPr>
          </w:p>
        </w:tc>
      </w:tr>
      <w:tr w14:paraId="7802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B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0667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经自评，该项目自评得分为99分，项目的实施更好的激发了检察干警干事创业热情，为检察事业更优发展注入了强大的内生动力。</w:t>
            </w:r>
          </w:p>
        </w:tc>
      </w:tr>
      <w:tr w14:paraId="53E3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6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60BD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因存在检察官、检察辅助人员、司法行政人员等几类政法专项编制检察工作人员，单位在绩效考核后的奖金实际分配上存在一定程度分歧。</w:t>
            </w:r>
          </w:p>
        </w:tc>
      </w:tr>
      <w:tr w14:paraId="4334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7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676F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建议上级检察院在下级各单位如何具体分配司法绩效能够出台更具体和操作性强的指导意见。</w:t>
            </w:r>
          </w:p>
        </w:tc>
      </w:tr>
      <w:tr w14:paraId="1319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A5A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项目负责人：朱灵</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C0D9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财务负责人：杨琳</w:t>
            </w:r>
          </w:p>
        </w:tc>
      </w:tr>
      <w:tr w14:paraId="5656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5FF410E">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7D27FA55">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20B96251">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06DBDB94">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5EA3B3E">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63EFC4EB">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E1BFBDC">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5C805B8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64CE02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4BF0AD4B">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633E653D">
            <w:pPr>
              <w:rPr>
                <w:rFonts w:hint="eastAsia" w:ascii="宋体" w:hAnsi="宋体" w:eastAsia="宋体" w:cs="宋体"/>
                <w:i w:val="0"/>
                <w:iCs w:val="0"/>
                <w:color w:val="000000"/>
                <w:sz w:val="18"/>
                <w:szCs w:val="18"/>
                <w:u w:val="none"/>
              </w:rPr>
            </w:pPr>
          </w:p>
        </w:tc>
      </w:tr>
      <w:tr w14:paraId="460E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75491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CA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B23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176F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51030023Y000008351614-荣县人民检察院--办公办案项目</w:t>
            </w:r>
          </w:p>
        </w:tc>
      </w:tr>
      <w:tr w14:paraId="62EC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322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02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荣县人民检察院部门</w:t>
            </w:r>
          </w:p>
        </w:tc>
        <w:tc>
          <w:tcPr>
            <w:tcW w:w="1091" w:type="dxa"/>
            <w:tcBorders>
              <w:top w:val="nil"/>
              <w:left w:val="nil"/>
              <w:bottom w:val="nil"/>
              <w:right w:val="nil"/>
            </w:tcBorders>
            <w:shd w:val="clear" w:color="auto" w:fill="auto"/>
            <w:vAlign w:val="center"/>
          </w:tcPr>
          <w:p w14:paraId="183E45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12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w:t>
            </w:r>
          </w:p>
        </w:tc>
      </w:tr>
      <w:tr w14:paraId="0921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C4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C5B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DB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01D7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A1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7760">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67D6">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96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为更好的保障检察机关的日常办公办案，保障协助检察院办案的网格员所需的奖补，激发网格员协助办案的内生动力，保障机关正常行政运行所需办案办公经费、后勤保障支出、工会经费及其它商品服务支出等各项开支。据近三年行政运行需求情况测算</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FB0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保障我院在职人员48人，聘用人员22人的正常办公办案，坚持稳中求进工作总基调，坚持新发展理念和城乡融合工作，稳步推进刑事、民事、行政、公益诉讼四大检察工作全面平衡充分发展。</w:t>
            </w:r>
          </w:p>
        </w:tc>
      </w:tr>
      <w:tr w14:paraId="1A3A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D05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3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CCC2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保障我院在职人员48人，聘用人员22人的正常办公办案，坚持稳中求进工作总基调，坚持新发展理念和城乡融合工作，稳步推进刑事、民事、行政、公益诉讼四大检察工作全面平衡充分发展。</w:t>
            </w:r>
          </w:p>
        </w:tc>
      </w:tr>
      <w:tr w14:paraId="212E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AB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2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B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8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AC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8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D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8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0E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B20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A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108.27</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E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E0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1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9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AB3A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EB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C6B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1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108.27</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D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4B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2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F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B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05AD1">
            <w:pPr>
              <w:rPr>
                <w:rFonts w:hint="eastAsia" w:ascii="黑体" w:hAnsi="黑体" w:eastAsia="黑体" w:cs="黑体"/>
                <w:i/>
                <w:iCs/>
                <w:color w:val="000000"/>
                <w:sz w:val="18"/>
                <w:szCs w:val="18"/>
                <w:u w:val="none"/>
              </w:rPr>
            </w:pPr>
          </w:p>
        </w:tc>
      </w:tr>
      <w:tr w14:paraId="72DE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40F6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7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9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5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C6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E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E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4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7DCC">
            <w:pPr>
              <w:rPr>
                <w:rFonts w:hint="eastAsia" w:ascii="黑体" w:hAnsi="黑体" w:eastAsia="黑体" w:cs="黑体"/>
                <w:i/>
                <w:iCs/>
                <w:color w:val="000000"/>
                <w:sz w:val="18"/>
                <w:szCs w:val="18"/>
                <w:u w:val="none"/>
              </w:rPr>
            </w:pPr>
          </w:p>
        </w:tc>
      </w:tr>
      <w:tr w14:paraId="1C85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F57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B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F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C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05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5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B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F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17D8">
            <w:pPr>
              <w:rPr>
                <w:rFonts w:hint="eastAsia" w:ascii="黑体" w:hAnsi="黑体" w:eastAsia="黑体" w:cs="黑体"/>
                <w:i/>
                <w:iCs/>
                <w:color w:val="000000"/>
                <w:sz w:val="18"/>
                <w:szCs w:val="18"/>
                <w:u w:val="none"/>
              </w:rPr>
            </w:pPr>
          </w:p>
        </w:tc>
      </w:tr>
      <w:tr w14:paraId="6C00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0C1E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5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D360">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2E8F">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836D9">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7AE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D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1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CF97">
            <w:pPr>
              <w:rPr>
                <w:rFonts w:hint="eastAsia" w:ascii="黑体" w:hAnsi="黑体" w:eastAsia="黑体" w:cs="黑体"/>
                <w:i/>
                <w:iCs/>
                <w:color w:val="000000"/>
                <w:sz w:val="18"/>
                <w:szCs w:val="18"/>
                <w:u w:val="none"/>
              </w:rPr>
            </w:pPr>
          </w:p>
        </w:tc>
      </w:tr>
      <w:tr w14:paraId="2340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C2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4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8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3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F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0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F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4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7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2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5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C5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BC6E">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FC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D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3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公诉、批捕案件办理数量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8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8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2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D7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1028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9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7915">
            <w:pPr>
              <w:jc w:val="center"/>
              <w:rPr>
                <w:rFonts w:hint="eastAsia" w:ascii="微软雅黑" w:hAnsi="微软雅黑" w:eastAsia="微软雅黑" w:cs="微软雅黑"/>
                <w:i/>
                <w:iCs/>
                <w:color w:val="000000"/>
                <w:sz w:val="16"/>
                <w:szCs w:val="16"/>
                <w:u w:val="none"/>
              </w:rPr>
            </w:pPr>
          </w:p>
        </w:tc>
      </w:tr>
      <w:tr w14:paraId="074C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DD46">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09AE">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7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9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案件办理质量达标率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8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6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5B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7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50EF">
            <w:pPr>
              <w:jc w:val="center"/>
              <w:rPr>
                <w:rFonts w:hint="eastAsia" w:ascii="微软雅黑" w:hAnsi="微软雅黑" w:eastAsia="微软雅黑" w:cs="微软雅黑"/>
                <w:i/>
                <w:iCs/>
                <w:color w:val="000000"/>
                <w:sz w:val="16"/>
                <w:szCs w:val="16"/>
                <w:u w:val="none"/>
              </w:rPr>
            </w:pPr>
          </w:p>
        </w:tc>
      </w:tr>
      <w:tr w14:paraId="1ACA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38F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593F">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3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A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信访、控申工作处理及时性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4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CD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5个工作日</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B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6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0E5C">
            <w:pPr>
              <w:jc w:val="center"/>
              <w:rPr>
                <w:rFonts w:hint="eastAsia" w:ascii="微软雅黑" w:hAnsi="微软雅黑" w:eastAsia="微软雅黑" w:cs="微软雅黑"/>
                <w:i/>
                <w:iCs/>
                <w:color w:val="000000"/>
                <w:sz w:val="16"/>
                <w:szCs w:val="16"/>
                <w:u w:val="none"/>
              </w:rPr>
            </w:pPr>
          </w:p>
        </w:tc>
      </w:tr>
      <w:tr w14:paraId="1F7B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8B0F">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0B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1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2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打击经济犯罪，服务地方经济发展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B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901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D4C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4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9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8B19">
            <w:pPr>
              <w:jc w:val="center"/>
              <w:rPr>
                <w:rFonts w:hint="eastAsia" w:ascii="微软雅黑" w:hAnsi="微软雅黑" w:eastAsia="微软雅黑" w:cs="微软雅黑"/>
                <w:i/>
                <w:iCs/>
                <w:color w:val="000000"/>
                <w:sz w:val="16"/>
                <w:szCs w:val="16"/>
                <w:u w:val="none"/>
              </w:rPr>
            </w:pPr>
          </w:p>
        </w:tc>
      </w:tr>
      <w:tr w14:paraId="03A3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A8A5C">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7471">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0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服务地方社会治理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F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8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700">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CC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D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0B3A">
            <w:pPr>
              <w:jc w:val="center"/>
              <w:rPr>
                <w:rFonts w:hint="eastAsia" w:ascii="微软雅黑" w:hAnsi="微软雅黑" w:eastAsia="微软雅黑" w:cs="微软雅黑"/>
                <w:i/>
                <w:iCs/>
                <w:color w:val="000000"/>
                <w:sz w:val="16"/>
                <w:szCs w:val="16"/>
                <w:u w:val="none"/>
              </w:rPr>
            </w:pPr>
          </w:p>
        </w:tc>
      </w:tr>
      <w:tr w14:paraId="0457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47F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E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群众对检察院案件办理满意度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0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5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1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F0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C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1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22EC">
            <w:pPr>
              <w:jc w:val="center"/>
              <w:rPr>
                <w:rFonts w:hint="eastAsia" w:ascii="微软雅黑" w:hAnsi="微软雅黑" w:eastAsia="微软雅黑" w:cs="微软雅黑"/>
                <w:i/>
                <w:iCs/>
                <w:color w:val="000000"/>
                <w:sz w:val="16"/>
                <w:szCs w:val="16"/>
                <w:u w:val="none"/>
              </w:rPr>
            </w:pPr>
          </w:p>
        </w:tc>
      </w:tr>
      <w:tr w14:paraId="6031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770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8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F6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7F9F">
            <w:pPr>
              <w:rPr>
                <w:rFonts w:hint="eastAsia" w:ascii="宋体" w:hAnsi="宋体" w:eastAsia="宋体" w:cs="宋体"/>
                <w:i w:val="0"/>
                <w:iCs w:val="0"/>
                <w:color w:val="000000"/>
                <w:sz w:val="18"/>
                <w:szCs w:val="18"/>
                <w:u w:val="none"/>
              </w:rPr>
            </w:pPr>
          </w:p>
        </w:tc>
      </w:tr>
      <w:tr w14:paraId="7493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3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004F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自评，该项目自评得分为98分，该项目的实施，为开展扫黑除恶常态化斗争、依法严厉打击严重暴力犯罪、多发性侵财犯罪，防范化解重大金融风险、依法严惩涉众型经济犯罪、筑牢禁毒综合防线等一系列检察业务工作提供了保障，为推动建设更高水平的平安荣县贡献了检察智慧。</w:t>
            </w:r>
          </w:p>
        </w:tc>
      </w:tr>
      <w:tr w14:paraId="4A29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6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B713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预算编制时对各业务部门的具体需求不够了解，具体开支标准以及最终实施效果无法精准把握。</w:t>
            </w:r>
          </w:p>
        </w:tc>
      </w:tr>
      <w:tr w14:paraId="746A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F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951E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一是细化预算编制工作，认真做好预算的编制。二是进一步加强单位内部机构各科室的预算管理意识。</w:t>
            </w:r>
          </w:p>
        </w:tc>
      </w:tr>
      <w:tr w14:paraId="66F8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23A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项目负责人：李沛遥</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291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财务负责人：杨琳</w:t>
            </w:r>
          </w:p>
        </w:tc>
      </w:tr>
      <w:tr w14:paraId="00F9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B6BA054">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004E70C6">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4DDFFBC5">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44B7923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FEFFF43">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7099FFE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B2B3DE8">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2D95EA6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814D003">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CE0854D">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61B5D65B">
            <w:pPr>
              <w:rPr>
                <w:rFonts w:hint="eastAsia" w:ascii="宋体" w:hAnsi="宋体" w:eastAsia="宋体" w:cs="宋体"/>
                <w:i w:val="0"/>
                <w:iCs w:val="0"/>
                <w:color w:val="000000"/>
                <w:sz w:val="18"/>
                <w:szCs w:val="18"/>
                <w:u w:val="none"/>
              </w:rPr>
            </w:pPr>
          </w:p>
        </w:tc>
      </w:tr>
      <w:tr w14:paraId="18FC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E65ED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49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FBA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62F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51030023Y000008602623-荣县人民检察院--司法救助</w:t>
            </w:r>
          </w:p>
        </w:tc>
      </w:tr>
      <w:tr w14:paraId="0594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73F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686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荣县人民检察院部门</w:t>
            </w:r>
          </w:p>
        </w:tc>
        <w:tc>
          <w:tcPr>
            <w:tcW w:w="1091" w:type="dxa"/>
            <w:tcBorders>
              <w:top w:val="nil"/>
              <w:left w:val="nil"/>
              <w:bottom w:val="nil"/>
              <w:right w:val="nil"/>
            </w:tcBorders>
            <w:shd w:val="clear" w:color="auto" w:fill="auto"/>
            <w:vAlign w:val="center"/>
          </w:tcPr>
          <w:p w14:paraId="39EB1C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13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w:t>
            </w:r>
          </w:p>
        </w:tc>
      </w:tr>
      <w:tr w14:paraId="3B67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FD4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35A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52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2688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AA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7F03">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2F25">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9AD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为更好的服务地方经济社会发展，以检察司法力量为人民群众人身权益保驾护航，为地方构建和谐稳定的社会治安环境贡献检察力量。</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197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2024年我院在改善民生，构建更完善的社会保障体系上投入司法救助，做出了检察贡献，司法救助金的及时发放，解决了困难群众燃眉之急，有效化解矛盾纠纷，体现检察关爱。</w:t>
            </w:r>
          </w:p>
        </w:tc>
      </w:tr>
      <w:tr w14:paraId="4C78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DEB0">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84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F9A6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入检察办案体系中有的刑事犯罪案件、民事侵权案件，因被告人没有赔偿能力或赔偿能力不足，致使被害人及其近亲属依法得不到有效赔偿，生活陷入困境，经审查核实符合司法救助条件后，我院开展相关救助工作，并发放司法救助金。</w:t>
            </w:r>
          </w:p>
        </w:tc>
      </w:tr>
      <w:tr w14:paraId="0C2E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23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2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A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DE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2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3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1F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CA4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6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4A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1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9E01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B1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F9D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D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8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E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B5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2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B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6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79C0">
            <w:pPr>
              <w:rPr>
                <w:rFonts w:hint="eastAsia" w:ascii="黑体" w:hAnsi="黑体" w:eastAsia="黑体" w:cs="黑体"/>
                <w:i/>
                <w:iCs/>
                <w:color w:val="000000"/>
                <w:sz w:val="18"/>
                <w:szCs w:val="18"/>
                <w:u w:val="none"/>
              </w:rPr>
            </w:pPr>
          </w:p>
        </w:tc>
      </w:tr>
      <w:tr w14:paraId="6433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B86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C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E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2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C9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E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7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0919">
            <w:pPr>
              <w:rPr>
                <w:rFonts w:hint="eastAsia" w:ascii="黑体" w:hAnsi="黑体" w:eastAsia="黑体" w:cs="黑体"/>
                <w:i/>
                <w:iCs/>
                <w:color w:val="000000"/>
                <w:sz w:val="18"/>
                <w:szCs w:val="18"/>
                <w:u w:val="none"/>
              </w:rPr>
            </w:pPr>
          </w:p>
        </w:tc>
      </w:tr>
      <w:tr w14:paraId="762A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017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7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2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49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4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7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E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226F9">
            <w:pPr>
              <w:rPr>
                <w:rFonts w:hint="eastAsia" w:ascii="黑体" w:hAnsi="黑体" w:eastAsia="黑体" w:cs="黑体"/>
                <w:i/>
                <w:iCs/>
                <w:color w:val="000000"/>
                <w:sz w:val="18"/>
                <w:szCs w:val="18"/>
                <w:u w:val="none"/>
              </w:rPr>
            </w:pPr>
          </w:p>
        </w:tc>
      </w:tr>
      <w:tr w14:paraId="06AB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D0B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9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E90">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D777">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964F4">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EE2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5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2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A1301">
            <w:pPr>
              <w:rPr>
                <w:rFonts w:hint="eastAsia" w:ascii="黑体" w:hAnsi="黑体" w:eastAsia="黑体" w:cs="黑体"/>
                <w:i/>
                <w:iCs/>
                <w:color w:val="000000"/>
                <w:sz w:val="18"/>
                <w:szCs w:val="18"/>
                <w:u w:val="none"/>
              </w:rPr>
            </w:pPr>
          </w:p>
        </w:tc>
      </w:tr>
      <w:tr w14:paraId="73B8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D0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9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8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D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E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8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3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B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6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5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1F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5884">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6C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B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F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全年救助次数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C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F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88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5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D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2D61">
            <w:pPr>
              <w:jc w:val="center"/>
              <w:rPr>
                <w:rFonts w:hint="eastAsia" w:ascii="微软雅黑" w:hAnsi="微软雅黑" w:eastAsia="微软雅黑" w:cs="微软雅黑"/>
                <w:i/>
                <w:iCs/>
                <w:color w:val="000000"/>
                <w:sz w:val="16"/>
                <w:szCs w:val="16"/>
                <w:u w:val="none"/>
              </w:rPr>
            </w:pPr>
          </w:p>
        </w:tc>
      </w:tr>
      <w:tr w14:paraId="782C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BF82">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F7DF">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F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司法救助案件办理质量达标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D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6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E9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A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DAE7">
            <w:pPr>
              <w:jc w:val="center"/>
              <w:rPr>
                <w:rFonts w:hint="eastAsia" w:ascii="微软雅黑" w:hAnsi="微软雅黑" w:eastAsia="微软雅黑" w:cs="微软雅黑"/>
                <w:i/>
                <w:iCs/>
                <w:color w:val="000000"/>
                <w:sz w:val="16"/>
                <w:szCs w:val="16"/>
                <w:u w:val="none"/>
              </w:rPr>
            </w:pPr>
          </w:p>
        </w:tc>
      </w:tr>
      <w:tr w14:paraId="45F8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34EF">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4C45">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6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9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案件办结后司法救助及时性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9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1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9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D0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0.5年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E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B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2F5A">
            <w:pPr>
              <w:jc w:val="center"/>
              <w:rPr>
                <w:rFonts w:hint="eastAsia" w:ascii="微软雅黑" w:hAnsi="微软雅黑" w:eastAsia="微软雅黑" w:cs="微软雅黑"/>
                <w:i/>
                <w:iCs/>
                <w:color w:val="000000"/>
                <w:sz w:val="16"/>
                <w:szCs w:val="16"/>
                <w:u w:val="none"/>
              </w:rPr>
            </w:pPr>
          </w:p>
        </w:tc>
      </w:tr>
      <w:tr w14:paraId="3D17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D118">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92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5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6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维护地方社会治理发展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3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C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37E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46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2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C047">
            <w:pPr>
              <w:jc w:val="center"/>
              <w:rPr>
                <w:rFonts w:hint="eastAsia" w:ascii="微软雅黑" w:hAnsi="微软雅黑" w:eastAsia="微软雅黑" w:cs="微软雅黑"/>
                <w:i/>
                <w:iCs/>
                <w:color w:val="000000"/>
                <w:sz w:val="16"/>
                <w:szCs w:val="16"/>
                <w:u w:val="none"/>
              </w:rPr>
            </w:pPr>
          </w:p>
        </w:tc>
      </w:tr>
      <w:tr w14:paraId="5F32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9CE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39B7">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0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3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持续高质效办好每一件案件影响力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3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A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C112">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7B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稳步提升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8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4EFA">
            <w:pPr>
              <w:jc w:val="center"/>
              <w:rPr>
                <w:rFonts w:hint="eastAsia" w:ascii="微软雅黑" w:hAnsi="微软雅黑" w:eastAsia="微软雅黑" w:cs="微软雅黑"/>
                <w:i/>
                <w:iCs/>
                <w:color w:val="000000"/>
                <w:sz w:val="16"/>
                <w:szCs w:val="16"/>
                <w:u w:val="none"/>
              </w:rPr>
            </w:pPr>
          </w:p>
        </w:tc>
      </w:tr>
      <w:tr w14:paraId="760F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326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A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6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6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4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7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4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80E1">
            <w:pPr>
              <w:jc w:val="center"/>
              <w:rPr>
                <w:rFonts w:hint="eastAsia" w:ascii="微软雅黑" w:hAnsi="微软雅黑" w:eastAsia="微软雅黑" w:cs="微软雅黑"/>
                <w:i/>
                <w:iCs/>
                <w:color w:val="000000"/>
                <w:sz w:val="16"/>
                <w:szCs w:val="16"/>
                <w:u w:val="none"/>
              </w:rPr>
            </w:pPr>
          </w:p>
        </w:tc>
      </w:tr>
      <w:tr w14:paraId="460B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887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A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49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CBAE">
            <w:pPr>
              <w:rPr>
                <w:rFonts w:hint="eastAsia" w:ascii="宋体" w:hAnsi="宋体" w:eastAsia="宋体" w:cs="宋体"/>
                <w:i w:val="0"/>
                <w:iCs w:val="0"/>
                <w:color w:val="000000"/>
                <w:sz w:val="18"/>
                <w:szCs w:val="18"/>
                <w:u w:val="none"/>
              </w:rPr>
            </w:pPr>
          </w:p>
        </w:tc>
      </w:tr>
      <w:tr w14:paraId="68E5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D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2EC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经自评，该项目自评得分为99分，强化司法救助工作，对符合司法救助的案件及相关当事人发放救助金，体现司法关怀。</w:t>
            </w:r>
          </w:p>
        </w:tc>
      </w:tr>
      <w:tr w14:paraId="356A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8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90D9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一是司法救助相关政策法规宣讲不到位，二是部分司法救助及时性存在不足。</w:t>
            </w:r>
          </w:p>
        </w:tc>
      </w:tr>
      <w:tr w14:paraId="6A29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7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A6C6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一是细化司法救助申请条件，二是继续强化司法救助的经费保障及时性。</w:t>
            </w:r>
          </w:p>
        </w:tc>
      </w:tr>
      <w:tr w14:paraId="3607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439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项目负责人：吴玲</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D1F2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财务负责人：杨琳</w:t>
            </w:r>
          </w:p>
        </w:tc>
      </w:tr>
      <w:tr w14:paraId="3B07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E8CECD0">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61626E09">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683DFFD6">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2D4EE196">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20EBE33">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7AC55CCA">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70C4759">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38C9ABC8">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DA75598">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26C27C8A">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0AD28E36">
            <w:pPr>
              <w:rPr>
                <w:rFonts w:hint="eastAsia" w:ascii="宋体" w:hAnsi="宋体" w:eastAsia="宋体" w:cs="宋体"/>
                <w:i w:val="0"/>
                <w:iCs w:val="0"/>
                <w:color w:val="000000"/>
                <w:sz w:val="18"/>
                <w:szCs w:val="18"/>
                <w:u w:val="none"/>
              </w:rPr>
            </w:pPr>
          </w:p>
        </w:tc>
      </w:tr>
      <w:tr w14:paraId="4274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AAC51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9A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072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367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51030024Y000010194269-其他运转支出</w:t>
            </w:r>
          </w:p>
        </w:tc>
      </w:tr>
      <w:tr w14:paraId="563A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74D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00B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荣县人民检察院部门</w:t>
            </w:r>
          </w:p>
        </w:tc>
        <w:tc>
          <w:tcPr>
            <w:tcW w:w="1091" w:type="dxa"/>
            <w:tcBorders>
              <w:top w:val="nil"/>
              <w:left w:val="nil"/>
              <w:bottom w:val="nil"/>
              <w:right w:val="nil"/>
            </w:tcBorders>
            <w:shd w:val="clear" w:color="auto" w:fill="auto"/>
            <w:vAlign w:val="center"/>
          </w:tcPr>
          <w:p w14:paraId="1FFC04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C5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w:t>
            </w:r>
          </w:p>
        </w:tc>
      </w:tr>
      <w:tr w14:paraId="1004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61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A8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1C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2A5C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98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DF17">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C838">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99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为更好的激发检察干警日常办公办案的热情和内生动力，做好后勤工作，保障机关食堂正常运行和机关卫生安全所需经费支出。</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381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在本年度，食堂经费项目围绕既定目标扎实推进，整体达成度较高，保障了干警食堂用餐满意度，有效激发了干警工作热情，为检察工作开展筑牢后勤保障根基，高质量完成年初设定的各项目标任务。</w:t>
            </w:r>
          </w:p>
        </w:tc>
      </w:tr>
      <w:tr w14:paraId="3710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0C5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3B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3B8C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的实施保障了食堂食材采购、设备更新维护、聘请专业人员为干警提供营养均衡、安全卫生的餐食。过程上现根据需要和标准制定经费预算及使用计划，采购环节严格把控食材质量，定期检查设备运行状况，加强人员培训管理，同时建立监督机制，定期对食堂卫生、服务质量和经费使用情况进行检查与评估，确保绩效目标准确落实。</w:t>
            </w:r>
          </w:p>
        </w:tc>
      </w:tr>
      <w:tr w14:paraId="3B3C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60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8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59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4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0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8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93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3A5E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7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1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6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C8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9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6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D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F58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5F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A04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0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C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F0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2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8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D605">
            <w:pPr>
              <w:rPr>
                <w:rFonts w:hint="eastAsia" w:ascii="黑体" w:hAnsi="黑体" w:eastAsia="黑体" w:cs="黑体"/>
                <w:i/>
                <w:iCs/>
                <w:color w:val="000000"/>
                <w:sz w:val="18"/>
                <w:szCs w:val="18"/>
                <w:u w:val="none"/>
              </w:rPr>
            </w:pPr>
          </w:p>
        </w:tc>
      </w:tr>
      <w:tr w14:paraId="0F81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D25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E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3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2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26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6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7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1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DF9E">
            <w:pPr>
              <w:rPr>
                <w:rFonts w:hint="eastAsia" w:ascii="黑体" w:hAnsi="黑体" w:eastAsia="黑体" w:cs="黑体"/>
                <w:i/>
                <w:iCs/>
                <w:color w:val="000000"/>
                <w:sz w:val="18"/>
                <w:szCs w:val="18"/>
                <w:u w:val="none"/>
              </w:rPr>
            </w:pPr>
          </w:p>
        </w:tc>
      </w:tr>
      <w:tr w14:paraId="5CAD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297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7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3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09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E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4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3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D4BD">
            <w:pPr>
              <w:rPr>
                <w:rFonts w:hint="eastAsia" w:ascii="黑体" w:hAnsi="黑体" w:eastAsia="黑体" w:cs="黑体"/>
                <w:i/>
                <w:iCs/>
                <w:color w:val="000000"/>
                <w:sz w:val="18"/>
                <w:szCs w:val="18"/>
                <w:u w:val="none"/>
              </w:rPr>
            </w:pPr>
          </w:p>
        </w:tc>
      </w:tr>
      <w:tr w14:paraId="1207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727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0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E434">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A5B">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DC92B">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35A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8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C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6F2F">
            <w:pPr>
              <w:rPr>
                <w:rFonts w:hint="eastAsia" w:ascii="黑体" w:hAnsi="黑体" w:eastAsia="黑体" w:cs="黑体"/>
                <w:i/>
                <w:iCs/>
                <w:color w:val="000000"/>
                <w:sz w:val="18"/>
                <w:szCs w:val="18"/>
                <w:u w:val="none"/>
              </w:rPr>
            </w:pPr>
          </w:p>
        </w:tc>
      </w:tr>
      <w:tr w14:paraId="61FE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0E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B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5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5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A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A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D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2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77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2294E">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D6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A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2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后勤保障总人数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F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E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A5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C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E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486">
            <w:pPr>
              <w:jc w:val="center"/>
              <w:rPr>
                <w:rFonts w:hint="eastAsia" w:ascii="微软雅黑" w:hAnsi="微软雅黑" w:eastAsia="微软雅黑" w:cs="微软雅黑"/>
                <w:i/>
                <w:iCs/>
                <w:color w:val="000000"/>
                <w:sz w:val="16"/>
                <w:szCs w:val="16"/>
                <w:u w:val="none"/>
              </w:rPr>
            </w:pPr>
          </w:p>
        </w:tc>
      </w:tr>
      <w:tr w14:paraId="2474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C2A9E">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BF4A">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机关食堂、卫生安全等后勤保障质量达标率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5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0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15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2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1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F03">
            <w:pPr>
              <w:jc w:val="center"/>
              <w:rPr>
                <w:rFonts w:hint="eastAsia" w:ascii="微软雅黑" w:hAnsi="微软雅黑" w:eastAsia="微软雅黑" w:cs="微软雅黑"/>
                <w:i/>
                <w:iCs/>
                <w:color w:val="000000"/>
                <w:sz w:val="16"/>
                <w:szCs w:val="16"/>
                <w:u w:val="none"/>
              </w:rPr>
            </w:pPr>
          </w:p>
        </w:tc>
      </w:tr>
      <w:tr w14:paraId="6F3E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E8A3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A844D">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8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3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该项目保障时效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4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4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1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6E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12月</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4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0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D07B">
            <w:pPr>
              <w:jc w:val="center"/>
              <w:rPr>
                <w:rFonts w:hint="eastAsia" w:ascii="微软雅黑" w:hAnsi="微软雅黑" w:eastAsia="微软雅黑" w:cs="微软雅黑"/>
                <w:i/>
                <w:iCs/>
                <w:color w:val="000000"/>
                <w:sz w:val="16"/>
                <w:szCs w:val="16"/>
                <w:u w:val="none"/>
              </w:rPr>
            </w:pPr>
          </w:p>
        </w:tc>
      </w:tr>
      <w:tr w14:paraId="33A3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2145">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2A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7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1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扶持具有帮助食品和清洁用品配送资质的中小企业经营运行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E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1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4FFC">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D0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4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E61A">
            <w:pPr>
              <w:jc w:val="center"/>
              <w:rPr>
                <w:rFonts w:hint="eastAsia" w:ascii="微软雅黑" w:hAnsi="微软雅黑" w:eastAsia="微软雅黑" w:cs="微软雅黑"/>
                <w:i/>
                <w:iCs/>
                <w:color w:val="000000"/>
                <w:sz w:val="16"/>
                <w:szCs w:val="16"/>
                <w:u w:val="none"/>
              </w:rPr>
            </w:pPr>
          </w:p>
        </w:tc>
      </w:tr>
      <w:tr w14:paraId="638D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3CB2">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4F0D">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4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3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食品和卫生清洁用品的定点配送有利于减少环境污染和浪费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4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9AFE">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09A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3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D66">
            <w:pPr>
              <w:jc w:val="center"/>
              <w:rPr>
                <w:rFonts w:hint="eastAsia" w:ascii="微软雅黑" w:hAnsi="微软雅黑" w:eastAsia="微软雅黑" w:cs="微软雅黑"/>
                <w:i/>
                <w:iCs/>
                <w:color w:val="000000"/>
                <w:sz w:val="16"/>
                <w:szCs w:val="16"/>
                <w:u w:val="none"/>
              </w:rPr>
            </w:pPr>
          </w:p>
        </w:tc>
      </w:tr>
      <w:tr w14:paraId="60E5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39A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1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F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干警对全院卫生和用餐满意度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7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1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8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9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F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10E8">
            <w:pPr>
              <w:jc w:val="center"/>
              <w:rPr>
                <w:rFonts w:hint="eastAsia" w:ascii="微软雅黑" w:hAnsi="微软雅黑" w:eastAsia="微软雅黑" w:cs="微软雅黑"/>
                <w:i/>
                <w:iCs/>
                <w:color w:val="000000"/>
                <w:sz w:val="16"/>
                <w:szCs w:val="16"/>
                <w:u w:val="none"/>
              </w:rPr>
            </w:pPr>
          </w:p>
        </w:tc>
      </w:tr>
      <w:tr w14:paraId="4DE0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6C2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0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2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2AE9">
            <w:pPr>
              <w:rPr>
                <w:rFonts w:hint="eastAsia" w:ascii="宋体" w:hAnsi="宋体" w:eastAsia="宋体" w:cs="宋体"/>
                <w:i w:val="0"/>
                <w:iCs w:val="0"/>
                <w:color w:val="000000"/>
                <w:sz w:val="18"/>
                <w:szCs w:val="18"/>
                <w:u w:val="none"/>
              </w:rPr>
            </w:pPr>
          </w:p>
        </w:tc>
      </w:tr>
      <w:tr w14:paraId="7219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8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9796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经自评，该项目自评得分为97分，项目实施后成效显著，实现预期目标，听过合理调配资金，保障了食材优质供应、用餐环境和卫生安全得到有力保障。</w:t>
            </w:r>
          </w:p>
        </w:tc>
      </w:tr>
      <w:tr w14:paraId="322F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0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A87A2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一是经费使用灵活性不足，预算编制为年初固定编制，缺乏针对市场的动态调整机制。二是卫生安全监督在个别区域存在薄弱环节。</w:t>
            </w:r>
          </w:p>
        </w:tc>
      </w:tr>
      <w:tr w14:paraId="67F2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8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648B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一是优化经费预算管理，在年初预算编制时预留动态调整空间。二是强化卫生安全监督管理并健全反馈机制。</w:t>
            </w:r>
          </w:p>
        </w:tc>
      </w:tr>
      <w:tr w14:paraId="26C0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F028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项目负责人：周永亮</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FB12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财务负责人：杨琳</w:t>
            </w:r>
          </w:p>
        </w:tc>
      </w:tr>
      <w:tr w14:paraId="3CB7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EAA330E">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1418F167">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245948A7">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5480D85F">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4014775">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004A6E4B">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DE6FC86">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7AB4A3DB">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B1A4972">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57643193">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770FE99C">
            <w:pPr>
              <w:rPr>
                <w:rFonts w:hint="eastAsia" w:ascii="宋体" w:hAnsi="宋体" w:eastAsia="宋体" w:cs="宋体"/>
                <w:i w:val="0"/>
                <w:iCs w:val="0"/>
                <w:color w:val="000000"/>
                <w:sz w:val="18"/>
                <w:szCs w:val="18"/>
                <w:u w:val="none"/>
              </w:rPr>
            </w:pPr>
          </w:p>
        </w:tc>
      </w:tr>
      <w:tr w14:paraId="7747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02763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330B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3C261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34BB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1C455E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1901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149D3B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2D086D8C">
      <w:pPr>
        <w:pStyle w:val="2"/>
        <w:keepNext w:val="0"/>
        <w:keepLines w:val="0"/>
        <w:pageBreakBefore w:val="0"/>
        <w:numPr>
          <w:ilvl w:val="0"/>
          <w:numId w:val="0"/>
        </w:numPr>
        <w:kinsoku/>
        <w:wordWrap/>
        <w:overflowPunct/>
        <w:topLinePunct w:val="0"/>
        <w:autoSpaceDE/>
        <w:autoSpaceDN/>
        <w:bidi w:val="0"/>
        <w:spacing w:line="572" w:lineRule="exact"/>
        <w:textAlignment w:val="auto"/>
        <w:rPr>
          <w:rFonts w:hint="eastAsia" w:ascii="Times New Roman" w:hAnsi="Times New Roman" w:cs="Times New Roman"/>
          <w:sz w:val="32"/>
          <w:szCs w:val="32"/>
          <w:highlight w:val="none"/>
          <w:lang w:val="zh-CN" w:eastAsia="zh-CN"/>
        </w:rPr>
      </w:pPr>
    </w:p>
    <w:p w14:paraId="0A779533">
      <w:pPr>
        <w:pStyle w:val="9"/>
        <w:pageBreakBefore w:val="0"/>
        <w:kinsoku/>
        <w:wordWrap/>
        <w:overflowPunct/>
        <w:topLinePunct w:val="0"/>
        <w:autoSpaceDE/>
        <w:autoSpaceDN/>
        <w:bidi w:val="0"/>
        <w:spacing w:line="572" w:lineRule="exact"/>
        <w:textAlignment w:val="auto"/>
        <w:rPr>
          <w:rFonts w:hint="eastAsia" w:ascii="Times New Roman" w:hAnsi="Times New Roman" w:cs="宋体"/>
          <w:color w:val="FF0000"/>
          <w:kern w:val="0"/>
          <w:sz w:val="32"/>
          <w:szCs w:val="32"/>
          <w:highlight w:val="none"/>
          <w:shd w:val="clear" w:color="auto" w:fill="FFFFFF"/>
          <w:lang w:val="zh-CN"/>
        </w:rPr>
      </w:pPr>
    </w:p>
    <w:p w14:paraId="34DD94AF">
      <w:pPr>
        <w:pageBreakBefore w:val="0"/>
        <w:kinsoku/>
        <w:wordWrap/>
        <w:overflowPunct/>
        <w:topLinePunct w:val="0"/>
        <w:autoSpaceDE/>
        <w:autoSpaceDN/>
        <w:bidi w:val="0"/>
        <w:spacing w:line="572" w:lineRule="exact"/>
        <w:textAlignment w:val="auto"/>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37B33F6F">
      <w:pPr>
        <w:pStyle w:val="9"/>
        <w:pageBreakBefore w:val="0"/>
        <w:kinsoku/>
        <w:wordWrap/>
        <w:overflowPunct/>
        <w:topLinePunct w:val="0"/>
        <w:autoSpaceDE/>
        <w:autoSpaceDN/>
        <w:bidi w:val="0"/>
        <w:spacing w:line="572" w:lineRule="exact"/>
        <w:textAlignment w:val="auto"/>
        <w:rPr>
          <w:rFonts w:hint="eastAsia" w:ascii="Times New Roman" w:hAnsi="Times New Roman" w:eastAsia="黑体" w:cs="黑体"/>
          <w:color w:val="auto"/>
          <w:kern w:val="0"/>
          <w:sz w:val="32"/>
          <w:szCs w:val="32"/>
          <w:highlight w:val="none"/>
          <w:shd w:val="clear" w:color="auto" w:fill="FFFFFF"/>
          <w:lang w:val="zh-CN"/>
        </w:rPr>
        <w:sectPr>
          <w:pgSz w:w="16838" w:h="11906" w:orient="landscape"/>
          <w:pgMar w:top="1800" w:right="1440" w:bottom="1800" w:left="1440" w:header="851" w:footer="992" w:gutter="0"/>
          <w:pgNumType w:fmt="decimal"/>
          <w:cols w:space="425" w:num="1"/>
          <w:titlePg/>
          <w:docGrid w:type="lines" w:linePitch="312" w:charSpace="0"/>
        </w:sectPr>
      </w:pPr>
    </w:p>
    <w:p w14:paraId="79736FEA">
      <w:pPr>
        <w:pStyle w:val="9"/>
        <w:pageBreakBefore w:val="0"/>
        <w:kinsoku/>
        <w:wordWrap/>
        <w:overflowPunct/>
        <w:topLinePunct w:val="0"/>
        <w:autoSpaceDE/>
        <w:autoSpaceDN/>
        <w:bidi w:val="0"/>
        <w:spacing w:line="572" w:lineRule="exac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9A092BA">
      <w:pPr>
        <w:pStyle w:val="37"/>
        <w:keepNext w:val="0"/>
        <w:keepLines w:val="0"/>
        <w:pageBreakBefore w:val="0"/>
        <w:widowControl w:val="0"/>
        <w:kinsoku/>
        <w:wordWrap/>
        <w:overflowPunct/>
        <w:topLinePunct w:val="0"/>
        <w:autoSpaceDE/>
        <w:autoSpaceDN/>
        <w:bidi w:val="0"/>
        <w:spacing w:line="572"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BEF2AC8">
      <w:pPr>
        <w:pStyle w:val="37"/>
        <w:keepNext w:val="0"/>
        <w:keepLines w:val="0"/>
        <w:pageBreakBefore w:val="0"/>
        <w:widowControl/>
        <w:kinsoku/>
        <w:wordWrap/>
        <w:overflowPunct/>
        <w:topLinePunct w:val="0"/>
        <w:autoSpaceDE/>
        <w:autoSpaceDN/>
        <w:bidi w:val="0"/>
        <w:spacing w:line="572" w:lineRule="exact"/>
        <w:jc w:val="center"/>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方正小标宋简体" w:cs="方正小标宋简体"/>
          <w:sz w:val="44"/>
          <w:szCs w:val="44"/>
          <w:lang w:val="en-US" w:eastAsia="zh-CN"/>
        </w:rPr>
        <w:t>荣县人民检察院</w:t>
      </w:r>
      <w:r>
        <w:rPr>
          <w:rFonts w:hint="eastAsia" w:ascii="Times New Roman" w:hAnsi="Times New Roman" w:eastAsia="方正小标宋简体" w:cs="方正小标宋简体"/>
          <w:sz w:val="44"/>
          <w:szCs w:val="44"/>
        </w:rPr>
        <w:t>项目支出绩效</w:t>
      </w:r>
      <w:r>
        <w:rPr>
          <w:rFonts w:hint="eastAsia" w:ascii="Times New Roman" w:hAnsi="Times New Roman" w:eastAsia="方正小标宋简体" w:cs="方正小标宋简体"/>
          <w:sz w:val="44"/>
          <w:szCs w:val="44"/>
          <w:lang w:val="en-US" w:eastAsia="zh-CN"/>
        </w:rPr>
        <w:t>自评</w:t>
      </w:r>
      <w:r>
        <w:rPr>
          <w:rFonts w:hint="eastAsia" w:ascii="Times New Roman" w:hAnsi="Times New Roman" w:eastAsia="方正小标宋简体" w:cs="方正小标宋简体"/>
          <w:sz w:val="44"/>
          <w:szCs w:val="44"/>
        </w:rPr>
        <w:t>报告</w:t>
      </w:r>
    </w:p>
    <w:p w14:paraId="31817A1A">
      <w:pPr>
        <w:keepNext w:val="0"/>
        <w:keepLines w:val="0"/>
        <w:pageBreakBefore w:val="0"/>
        <w:widowControl w:val="0"/>
        <w:suppressLineNumbers w:val="0"/>
        <w:kinsoku/>
        <w:wordWrap/>
        <w:overflowPunct/>
        <w:topLinePunct w:val="0"/>
        <w:autoSpaceDE/>
        <w:autoSpaceDN/>
        <w:bidi w:val="0"/>
        <w:spacing w:before="0" w:beforeAutospacing="0" w:after="0" w:afterAutospacing="0" w:line="572" w:lineRule="exact"/>
        <w:ind w:left="0" w:right="0"/>
        <w:jc w:val="center"/>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kern w:val="2"/>
          <w:sz w:val="32"/>
          <w:szCs w:val="32"/>
          <w:lang w:val="en-US" w:eastAsia="zh-CN" w:bidi="ar"/>
        </w:rPr>
        <w:t>（荣县人民检察院——办公办案项目）</w:t>
      </w:r>
    </w:p>
    <w:p w14:paraId="07E6C4EE">
      <w:pPr>
        <w:pStyle w:val="37"/>
        <w:keepNext w:val="0"/>
        <w:keepLines w:val="0"/>
        <w:pageBreakBefore w:val="0"/>
        <w:widowControl w:val="0"/>
        <w:kinsoku/>
        <w:wordWrap/>
        <w:overflowPunct/>
        <w:topLinePunct w:val="0"/>
        <w:autoSpaceDE/>
        <w:autoSpaceDN/>
        <w:bidi w:val="0"/>
        <w:spacing w:line="572" w:lineRule="exact"/>
        <w:ind w:left="0" w:leftChars="0" w:firstLine="640"/>
        <w:jc w:val="center"/>
        <w:textAlignment w:val="auto"/>
        <w:rPr>
          <w:rFonts w:ascii="Times New Roman" w:hAnsi="Times New Roman"/>
          <w:color w:val="auto"/>
          <w:kern w:val="2"/>
          <w:sz w:val="32"/>
          <w:szCs w:val="32"/>
          <w:highlight w:val="none"/>
        </w:rPr>
      </w:pPr>
    </w:p>
    <w:p w14:paraId="1EB6E8A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4346A44E">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left="0" w:leftChars="0" w:firstLine="643" w:firstLineChars="200"/>
        <w:contextualSpacing/>
        <w:jc w:val="left"/>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601391D4">
      <w:pPr>
        <w:keepNext w:val="0"/>
        <w:keepLines w:val="0"/>
        <w:pageBreakBefore w:val="0"/>
        <w:kinsoku/>
        <w:wordWrap/>
        <w:overflowPunct/>
        <w:topLinePunct w:val="0"/>
        <w:autoSpaceDE/>
        <w:autoSpaceDN/>
        <w:bidi w:val="0"/>
        <w:adjustRightInd w:val="0"/>
        <w:snapToGrid w:val="0"/>
        <w:spacing w:line="572" w:lineRule="exact"/>
        <w:ind w:left="0" w:leftChars="0" w:firstLine="640" w:firstLineChars="200"/>
        <w:textAlignment w:val="auto"/>
        <w:rPr>
          <w:rFonts w:hint="eastAsia" w:ascii="仿宋_GB2312" w:hAnsi="仿宋_GB2312" w:eastAsia="仿宋_GB2312" w:cs="仿宋_GB2312"/>
          <w:kern w:val="2"/>
          <w:sz w:val="32"/>
          <w:szCs w:val="24"/>
          <w:lang w:val="zh-CN" w:eastAsia="zh-CN" w:bidi="ar"/>
        </w:rPr>
      </w:pPr>
      <w:r>
        <w:rPr>
          <w:rFonts w:hint="eastAsia" w:ascii="仿宋_GB2312" w:hAnsi="仿宋_GB2312" w:eastAsia="仿宋_GB2312" w:cs="仿宋_GB2312"/>
          <w:kern w:val="2"/>
          <w:sz w:val="32"/>
          <w:szCs w:val="24"/>
          <w:lang w:val="zh-CN" w:eastAsia="zh-CN" w:bidi="ar"/>
        </w:rPr>
        <w:t>为保障检察机关依法履行法律监督职责，提升办公办案质效，确保司法工作规范化、专业化开展，设立本项目用于保障案件办理、信息化建设、设备维护、人员培训等核心业务需求，为检察职能高效履行提供坚实保障。</w:t>
      </w:r>
    </w:p>
    <w:p w14:paraId="3CDCB8BE">
      <w:pPr>
        <w:keepNext w:val="0"/>
        <w:keepLines w:val="0"/>
        <w:pageBreakBefore w:val="0"/>
        <w:numPr>
          <w:ilvl w:val="0"/>
          <w:numId w:val="5"/>
        </w:numPr>
        <w:kinsoku/>
        <w:wordWrap/>
        <w:overflowPunct/>
        <w:topLinePunct w:val="0"/>
        <w:autoSpaceDE/>
        <w:autoSpaceDN/>
        <w:bidi w:val="0"/>
        <w:adjustRightInd w:val="0"/>
        <w:snapToGrid w:val="0"/>
        <w:spacing w:line="572"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en-US" w:eastAsia="zh-CN"/>
        </w:rPr>
        <w:t>实施目的及支持方向</w:t>
      </w:r>
    </w:p>
    <w:p w14:paraId="16A62B0B">
      <w:pPr>
        <w:keepNext w:val="0"/>
        <w:keepLines w:val="0"/>
        <w:pageBreakBefore w:val="0"/>
        <w:kinsoku/>
        <w:wordWrap/>
        <w:overflowPunct/>
        <w:topLinePunct w:val="0"/>
        <w:autoSpaceDE/>
        <w:autoSpaceDN/>
        <w:bidi w:val="0"/>
        <w:adjustRightInd w:val="0"/>
        <w:snapToGrid w:val="0"/>
        <w:spacing w:line="572" w:lineRule="exact"/>
        <w:ind w:left="0" w:leftChars="0" w:firstLine="640" w:firstLineChars="200"/>
        <w:textAlignment w:val="auto"/>
        <w:rPr>
          <w:rFonts w:hint="eastAsia" w:ascii="仿宋_GB2312" w:hAnsi="仿宋_GB2312" w:eastAsia="仿宋_GB2312" w:cs="仿宋_GB2312"/>
          <w:kern w:val="2"/>
          <w:sz w:val="32"/>
          <w:szCs w:val="24"/>
          <w:lang w:val="zh-CN" w:eastAsia="zh-CN" w:bidi="ar"/>
        </w:rPr>
      </w:pPr>
      <w:r>
        <w:rPr>
          <w:rFonts w:hint="eastAsia" w:ascii="仿宋_GB2312" w:hAnsi="仿宋_GB2312" w:eastAsia="仿宋_GB2312" w:cs="仿宋_GB2312"/>
          <w:kern w:val="2"/>
          <w:sz w:val="32"/>
          <w:szCs w:val="24"/>
          <w:lang w:val="zh-CN" w:eastAsia="zh-CN" w:bidi="ar"/>
        </w:rPr>
        <w:t>该项目主要用于荣县人民检察院业务工作中所产生的办案差旅费、办公费、维修（护）费、劳务费、物业管理费、其他商品和服务支出等，弥补保障检察办案业务运转的日常公用经费不足。</w:t>
      </w:r>
    </w:p>
    <w:p w14:paraId="15621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p>
    <w:p w14:paraId="31AB21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kern w:val="2"/>
          <w:sz w:val="32"/>
          <w:szCs w:val="24"/>
          <w:lang w:val="zh-CN" w:eastAsia="zh-CN" w:bidi="ar"/>
        </w:rPr>
        <w:t>本项目按财政要求在年初预算编制时进行项目资金申报</w:t>
      </w:r>
      <w:r>
        <w:rPr>
          <w:rFonts w:hint="default" w:ascii="Times New Roman" w:hAnsi="Times New Roman" w:eastAsia="仿宋_GB2312" w:cs="Times New Roman"/>
          <w:kern w:val="2"/>
          <w:sz w:val="32"/>
          <w:szCs w:val="24"/>
          <w:lang w:val="en-US" w:eastAsia="zh-CN" w:bidi="ar"/>
        </w:rPr>
        <w:t>108.27</w:t>
      </w:r>
      <w:r>
        <w:rPr>
          <w:rFonts w:hint="default" w:ascii="Times New Roman" w:hAnsi="Times New Roman" w:eastAsia="仿宋_GB2312" w:cs="Times New Roman"/>
          <w:kern w:val="2"/>
          <w:sz w:val="32"/>
          <w:szCs w:val="24"/>
          <w:lang w:val="zh-CN" w:eastAsia="zh-CN" w:bidi="ar"/>
        </w:rPr>
        <w:t>万元，以近几年实际运转所需资金整体情况作为项目资金申报支撑，项目资金批复</w:t>
      </w:r>
      <w:r>
        <w:rPr>
          <w:rFonts w:hint="default" w:ascii="Times New Roman" w:hAnsi="Times New Roman" w:eastAsia="仿宋_GB2312" w:cs="Times New Roman"/>
          <w:kern w:val="2"/>
          <w:sz w:val="32"/>
          <w:szCs w:val="24"/>
          <w:lang w:val="en-US" w:eastAsia="zh-CN" w:bidi="ar"/>
        </w:rPr>
        <w:t>108.27</w:t>
      </w:r>
      <w:r>
        <w:rPr>
          <w:rFonts w:hint="default" w:ascii="Times New Roman" w:hAnsi="Times New Roman" w:eastAsia="仿宋_GB2312" w:cs="Times New Roman"/>
          <w:kern w:val="2"/>
          <w:sz w:val="32"/>
          <w:szCs w:val="24"/>
          <w:lang w:val="zh-CN" w:eastAsia="zh-CN" w:bidi="ar"/>
        </w:rPr>
        <w:t>万元，使用过程中调整后预算数为</w:t>
      </w:r>
      <w:r>
        <w:rPr>
          <w:rFonts w:hint="default" w:ascii="Times New Roman" w:hAnsi="Times New Roman" w:eastAsia="仿宋_GB2312" w:cs="Times New Roman"/>
          <w:kern w:val="2"/>
          <w:sz w:val="32"/>
          <w:szCs w:val="24"/>
          <w:lang w:val="en-US" w:eastAsia="zh-CN" w:bidi="ar"/>
        </w:rPr>
        <w:t>93.46万元</w:t>
      </w:r>
      <w:r>
        <w:rPr>
          <w:rFonts w:hint="default" w:ascii="Times New Roman" w:hAnsi="Times New Roman" w:eastAsia="仿宋_GB2312" w:cs="Times New Roman"/>
          <w:kern w:val="2"/>
          <w:sz w:val="32"/>
          <w:szCs w:val="24"/>
          <w:lang w:val="zh-CN" w:eastAsia="zh-CN" w:bidi="ar"/>
        </w:rPr>
        <w:t>。</w:t>
      </w:r>
    </w:p>
    <w:p w14:paraId="6E0A31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5C2107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Times New Roman"/>
          <w:kern w:val="2"/>
          <w:sz w:val="32"/>
          <w:szCs w:val="24"/>
          <w:lang w:val="zh-CN" w:eastAsia="zh-CN" w:bidi="ar"/>
        </w:rPr>
        <w:t>项目主要量化目标为公诉、批捕案件办理数量≥</w:t>
      </w:r>
      <w:r>
        <w:rPr>
          <w:rFonts w:hint="default" w:ascii="Times New Roman" w:hAnsi="Times New Roman" w:eastAsia="仿宋_GB2312" w:cs="Times New Roman"/>
          <w:kern w:val="2"/>
          <w:sz w:val="32"/>
          <w:szCs w:val="24"/>
          <w:lang w:val="en-US" w:eastAsia="zh-CN" w:bidi="ar"/>
        </w:rPr>
        <w:t>400</w:t>
      </w:r>
      <w:r>
        <w:rPr>
          <w:rFonts w:hint="default" w:ascii="Times New Roman" w:hAnsi="Times New Roman" w:eastAsia="仿宋_GB2312" w:cs="Times New Roman"/>
          <w:kern w:val="2"/>
          <w:sz w:val="32"/>
          <w:szCs w:val="24"/>
          <w:lang w:val="zh-CN" w:eastAsia="zh-CN" w:bidi="ar"/>
        </w:rPr>
        <w:t>件</w:t>
      </w:r>
      <w:r>
        <w:rPr>
          <w:rFonts w:hint="default" w:ascii="Times New Roman" w:hAnsi="Times New Roman" w:eastAsia="仿宋_GB2312" w:cs="Times New Roman"/>
          <w:kern w:val="2"/>
          <w:sz w:val="32"/>
          <w:szCs w:val="24"/>
          <w:lang w:val="en-US" w:eastAsia="zh-CN" w:bidi="ar"/>
        </w:rPr>
        <w:t>,案件办理质量达标率=100%，</w:t>
      </w:r>
      <w:r>
        <w:rPr>
          <w:rFonts w:hint="default" w:ascii="Times New Roman" w:hAnsi="Times New Roman" w:eastAsia="仿宋_GB2312" w:cs="Times New Roman"/>
          <w:kern w:val="2"/>
          <w:sz w:val="32"/>
          <w:szCs w:val="24"/>
          <w:lang w:val="zh-CN" w:eastAsia="zh-CN" w:bidi="ar"/>
        </w:rPr>
        <w:t>信访、控申工作处理及时性≤</w:t>
      </w:r>
      <w:r>
        <w:rPr>
          <w:rFonts w:hint="default" w:ascii="Times New Roman" w:hAnsi="Times New Roman" w:eastAsia="仿宋_GB2312" w:cs="Times New Roman"/>
          <w:kern w:val="2"/>
          <w:sz w:val="32"/>
          <w:szCs w:val="24"/>
          <w:lang w:val="en-US" w:eastAsia="zh-CN" w:bidi="ar"/>
        </w:rPr>
        <w:t>7个工作日，</w:t>
      </w:r>
      <w:r>
        <w:rPr>
          <w:rFonts w:hint="default" w:ascii="Times New Roman" w:hAnsi="Times New Roman" w:eastAsia="仿宋_GB2312" w:cs="Times New Roman"/>
          <w:kern w:val="2"/>
          <w:sz w:val="32"/>
          <w:szCs w:val="24"/>
          <w:lang w:val="zh-CN" w:eastAsia="zh-CN" w:bidi="ar"/>
        </w:rPr>
        <w:t>群众对检察院案件办理满意度≥</w:t>
      </w:r>
      <w:r>
        <w:rPr>
          <w:rFonts w:hint="default" w:ascii="Times New Roman" w:hAnsi="Times New Roman" w:eastAsia="仿宋_GB2312" w:cs="Times New Roman"/>
          <w:kern w:val="2"/>
          <w:sz w:val="32"/>
          <w:szCs w:val="24"/>
          <w:lang w:val="en-US" w:eastAsia="zh-CN" w:bidi="ar"/>
        </w:rPr>
        <w:t>98%</w:t>
      </w:r>
      <w:r>
        <w:rPr>
          <w:rFonts w:hint="default" w:ascii="Times New Roman" w:hAnsi="Times New Roman" w:eastAsia="仿宋_GB2312" w:cs="Times New Roman"/>
          <w:kern w:val="2"/>
          <w:sz w:val="32"/>
          <w:szCs w:val="24"/>
          <w:lang w:val="zh-CN" w:eastAsia="zh-CN" w:bidi="ar"/>
        </w:rPr>
        <w:t>。</w:t>
      </w:r>
    </w:p>
    <w:p w14:paraId="1A7409D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1D346C0B">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31AF9A65">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kern w:val="2"/>
          <w:sz w:val="32"/>
          <w:szCs w:val="24"/>
          <w:lang w:val="zh-CN" w:eastAsia="zh-CN" w:bidi="ar"/>
        </w:rPr>
        <w:t>通过本项目实施，保障荣县人民检察院作为法律监督机关，依法行使检察权，依法办案，实现公正司法，维护社会公平正义。</w:t>
      </w:r>
    </w:p>
    <w:p w14:paraId="04CCAA0C">
      <w:pPr>
        <w:keepNext w:val="0"/>
        <w:keepLines w:val="0"/>
        <w:pageBreakBefore w:val="0"/>
        <w:widowControl w:val="0"/>
        <w:kinsoku/>
        <w:wordWrap/>
        <w:overflowPunct/>
        <w:topLinePunct w:val="0"/>
        <w:autoSpaceDE/>
        <w:autoSpaceDN/>
        <w:bidi w:val="0"/>
        <w:adjustRightInd w:val="0"/>
        <w:snapToGrid w:val="0"/>
        <w:spacing w:line="572"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4BC82E88">
      <w:pPr>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按照绩效评价指标体系，对资金支出使用全过程及其实施效果进行综合评价和判断。</w:t>
      </w:r>
    </w:p>
    <w:p w14:paraId="77845187">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591F46FF">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仿宋_GB2312" w:cs="仿宋_GB2312"/>
          <w:b w:val="0"/>
          <w:color w:val="auto"/>
          <w:kern w:val="0"/>
          <w:sz w:val="32"/>
          <w:szCs w:val="32"/>
          <w:highlight w:val="none"/>
          <w:u w:val="none"/>
          <w:lang w:val="zh-CN"/>
        </w:rPr>
        <w:t>项目绩效自评所抽样点位情况。每个专项预算项目应选取专项资金分配涉及市县总数的20%、总计不超过20个的市县点位进行实地踏勘，且点位清单应作为自评附表。</w:t>
      </w:r>
    </w:p>
    <w:p w14:paraId="3E6B5C4A">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2149E66E">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根据项目情况和评价重点，用来收集相关材料和开展具体评价的方法。包括：采用成本效益分析法、标杆管理法、案卷研究法、单位自评法、实地勘察法、问卷调查法、座谈调研法等多种方法。</w:t>
      </w:r>
    </w:p>
    <w:p w14:paraId="2786DAE8">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42A5F378">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仿宋_GB2312" w:cs="Times New Roman"/>
          <w:bCs/>
          <w:highlight w:val="none"/>
          <w:lang w:eastAsia="zh-CN"/>
        </w:rPr>
      </w:pPr>
      <w:r>
        <w:rPr>
          <w:rFonts w:hint="eastAsia" w:eastAsia="仿宋_GB2312" w:cs="仿宋_GB2312"/>
          <w:b w:val="0"/>
          <w:bCs w:val="0"/>
          <w:kern w:val="0"/>
          <w:position w:val="0"/>
          <w:sz w:val="32"/>
          <w:szCs w:val="32"/>
          <w:highlight w:val="none"/>
          <w:lang w:val="en-US" w:eastAsia="zh-CN" w:bidi="ar-SA"/>
        </w:rPr>
        <w:t>严格按照单位内控制度进行组织评价和分工</w:t>
      </w:r>
      <w:r>
        <w:rPr>
          <w:rFonts w:hint="eastAsia" w:ascii="Times New Roman" w:hAnsi="Times New Roman" w:eastAsia="仿宋_GB2312" w:cs="仿宋_GB2312"/>
          <w:b w:val="0"/>
          <w:bCs w:val="0"/>
          <w:kern w:val="0"/>
          <w:position w:val="0"/>
          <w:sz w:val="32"/>
          <w:szCs w:val="32"/>
          <w:highlight w:val="none"/>
          <w:lang w:val="zh-CN" w:eastAsia="zh-CN" w:bidi="ar-SA"/>
        </w:rPr>
        <w:t>。</w:t>
      </w:r>
    </w:p>
    <w:p w14:paraId="442D4855">
      <w:pPr>
        <w:keepNext w:val="0"/>
        <w:keepLines w:val="0"/>
        <w:pageBreakBefore w:val="0"/>
        <w:kinsoku/>
        <w:wordWrap/>
        <w:overflowPunct/>
        <w:topLinePunct w:val="0"/>
        <w:autoSpaceDE/>
        <w:autoSpaceDN/>
        <w:bidi w:val="0"/>
        <w:adjustRightInd w:val="0"/>
        <w:snapToGrid w:val="0"/>
        <w:spacing w:line="572"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133F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en-US" w:eastAsia="zh-CN" w:bidi="ar"/>
        </w:rPr>
        <w:t>1.</w:t>
      </w:r>
      <w:r>
        <w:rPr>
          <w:rFonts w:hint="eastAsia" w:ascii="仿宋_GB2312" w:hAnsi="仿宋_GB2312" w:eastAsia="仿宋_GB2312" w:cs="仿宋_GB2312"/>
          <w:kern w:val="2"/>
          <w:sz w:val="32"/>
          <w:szCs w:val="24"/>
          <w:lang w:val="zh-CN" w:eastAsia="zh-CN" w:bidi="ar"/>
        </w:rPr>
        <w:t>项目实施的经济效益分析：确保资金使用合理合规，加强我院检察工作有序开展，为司法为民、公正司法创造良好环境。</w:t>
      </w:r>
    </w:p>
    <w:p w14:paraId="22876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en-US" w:eastAsia="zh-CN" w:bidi="ar"/>
        </w:rPr>
        <w:t>2.</w:t>
      </w:r>
      <w:r>
        <w:rPr>
          <w:rFonts w:hint="eastAsia" w:ascii="仿宋_GB2312" w:hAnsi="仿宋_GB2312" w:eastAsia="仿宋_GB2312" w:cs="仿宋_GB2312"/>
          <w:kern w:val="2"/>
          <w:sz w:val="32"/>
          <w:szCs w:val="24"/>
          <w:lang w:val="zh-CN" w:eastAsia="zh-CN" w:bidi="ar"/>
        </w:rPr>
        <w:t>项目实施的社会效益分析：不断提升各项业务工作能力，充分履行审判职能，着力提高司法效能，倾力服务发展大局。</w:t>
      </w:r>
    </w:p>
    <w:p w14:paraId="7198E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en-US" w:eastAsia="zh-CN" w:bidi="ar"/>
        </w:rPr>
        <w:t>3.</w:t>
      </w:r>
      <w:r>
        <w:rPr>
          <w:rFonts w:hint="eastAsia" w:ascii="仿宋_GB2312" w:hAnsi="仿宋_GB2312" w:eastAsia="仿宋_GB2312" w:cs="仿宋_GB2312"/>
          <w:kern w:val="2"/>
          <w:sz w:val="32"/>
          <w:szCs w:val="24"/>
          <w:lang w:val="zh-CN" w:eastAsia="zh-CN" w:bidi="ar"/>
        </w:rPr>
        <w:t>项目实施的可持续影响分析：继续致力落实为民举措，提升司法公信力，让群众在每一个案件中感受到公平正义。</w:t>
      </w:r>
    </w:p>
    <w:p w14:paraId="655609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en-US" w:eastAsia="zh-CN" w:bidi="ar"/>
        </w:rPr>
        <w:t>4.</w:t>
      </w:r>
      <w:r>
        <w:rPr>
          <w:rFonts w:hint="eastAsia" w:ascii="仿宋_GB2312" w:hAnsi="仿宋_GB2312" w:eastAsia="仿宋_GB2312" w:cs="仿宋_GB2312"/>
          <w:kern w:val="2"/>
          <w:sz w:val="32"/>
          <w:szCs w:val="24"/>
          <w:lang w:val="zh-CN" w:eastAsia="zh-CN" w:bidi="ar"/>
        </w:rPr>
        <w:t>项目实施的满意度分析：落实对办案业务经费的保障，不断提高公众安全感和满意度。</w:t>
      </w:r>
    </w:p>
    <w:p w14:paraId="047F52BB">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1CBB18AF">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kern w:val="2"/>
          <w:sz w:val="32"/>
          <w:szCs w:val="24"/>
          <w:lang w:val="zh-CN" w:eastAsia="zh-CN" w:bidi="ar"/>
        </w:rPr>
        <w:t>项目资金严格执行财政部门相关制度和我院财务管理内控制度，对用款计划、资金用途进行严格审批，并经财务、分管领导审核确认后予以支出。项目支出严格按照“办案业务经费”开支范围执行，确保我院日常检察办案工作正常运行，涉及政府采购业务费用均按照政府采购相关法律法规进行支付及项目公示。该项目资金做到专款专用，严格把好事前计划审批、事中跟踪问效、事后报销结算的监督审核关卡。</w:t>
      </w:r>
    </w:p>
    <w:p w14:paraId="54E3A7C3">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18E9C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default" w:cs="Times New Roman"/>
          <w:kern w:val="2"/>
          <w:sz w:val="32"/>
          <w:szCs w:val="24"/>
          <w:lang w:val="zh-CN" w:eastAsia="zh-CN" w:bidi="ar"/>
        </w:rPr>
      </w:pPr>
      <w:r>
        <w:rPr>
          <w:rFonts w:hint="eastAsia" w:ascii="仿宋_GB2312" w:hAnsi="仿宋_GB2312" w:eastAsia="仿宋_GB2312" w:cs="仿宋_GB2312"/>
          <w:kern w:val="2"/>
          <w:sz w:val="32"/>
          <w:szCs w:val="24"/>
          <w:lang w:val="zh-CN" w:eastAsia="zh-CN" w:bidi="ar"/>
        </w:rPr>
        <w:t>目前年初预算编制项目绩效目标由财务部门独立编制，存在财务人员对项目整体情况把控不够全面，绩效目标设定容易存在偏差。</w:t>
      </w:r>
    </w:p>
    <w:p w14:paraId="022E1F91">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0CAAB4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zh-CN" w:eastAsia="zh-CN" w:bidi="ar"/>
        </w:rPr>
        <w:t>1.</w:t>
      </w:r>
      <w:r>
        <w:rPr>
          <w:rFonts w:hint="eastAsia" w:ascii="仿宋_GB2312" w:hAnsi="仿宋_GB2312" w:eastAsia="仿宋_GB2312" w:cs="仿宋_GB2312"/>
          <w:kern w:val="2"/>
          <w:sz w:val="32"/>
          <w:szCs w:val="24"/>
          <w:lang w:val="zh-CN" w:eastAsia="zh-CN" w:bidi="ar"/>
        </w:rPr>
        <w:t>加强业务部门与财务部门协调对接，提高业务部门对项目预算的认识，提升绩效目标设定精度与准度。</w:t>
      </w:r>
    </w:p>
    <w:p w14:paraId="572A1E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Times New Roman"/>
          <w:kern w:val="2"/>
          <w:sz w:val="32"/>
          <w:szCs w:val="24"/>
          <w:lang w:val="zh-CN" w:eastAsia="zh-CN" w:bidi="ar"/>
        </w:rPr>
        <w:t>2.</w:t>
      </w:r>
      <w:r>
        <w:rPr>
          <w:rFonts w:hint="eastAsia" w:ascii="仿宋_GB2312" w:hAnsi="仿宋_GB2312" w:eastAsia="仿宋_GB2312" w:cs="仿宋_GB2312"/>
          <w:kern w:val="2"/>
          <w:sz w:val="32"/>
          <w:szCs w:val="24"/>
          <w:lang w:val="zh-CN" w:eastAsia="zh-CN" w:bidi="ar"/>
        </w:rPr>
        <w:t>继续加强预算执行力度，确保执行进度和绩效目标的实现。</w:t>
      </w:r>
    </w:p>
    <w:p w14:paraId="263376D9">
      <w:pPr>
        <w:keepNext w:val="0"/>
        <w:keepLines w:val="0"/>
        <w:pageBreakBefore w:val="0"/>
        <w:widowControl w:val="0"/>
        <w:kinsoku/>
        <w:wordWrap/>
        <w:overflowPunct/>
        <w:topLinePunct w:val="0"/>
        <w:autoSpaceDE/>
        <w:autoSpaceDN/>
        <w:bidi w:val="0"/>
        <w:spacing w:line="572"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9AC30DC">
      <w:pPr>
        <w:pageBreakBefore w:val="0"/>
        <w:widowControl/>
        <w:kinsoku/>
        <w:wordWrap/>
        <w:overflowPunct/>
        <w:topLinePunct w:val="0"/>
        <w:autoSpaceDE/>
        <w:autoSpaceDN/>
        <w:bidi w:val="0"/>
        <w:spacing w:line="572" w:lineRule="exact"/>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44"/>
      <w:bookmarkEnd w:id="46"/>
      <w:bookmarkStart w:id="47" w:name="_Toc15396619"/>
    </w:p>
    <w:p w14:paraId="7F3C592F">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p>
    <w:p w14:paraId="0FEBAE2D">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7"/>
    </w:p>
    <w:p w14:paraId="5D43F185">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48" w:name="_Toc15396620"/>
      <w:r>
        <w:rPr>
          <w:rFonts w:hint="eastAsia" w:ascii="Times New Roman" w:hAnsi="Times New Roman" w:eastAsia="仿宋_GB2312" w:cs="仿宋_GB2312"/>
          <w:color w:val="auto"/>
          <w:sz w:val="32"/>
          <w:szCs w:val="32"/>
          <w:highlight w:val="none"/>
        </w:rPr>
        <w:t>二、收入决算表</w:t>
      </w:r>
      <w:bookmarkEnd w:id="48"/>
    </w:p>
    <w:p w14:paraId="44EA4526">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49" w:name="_Toc15396621"/>
      <w:r>
        <w:rPr>
          <w:rFonts w:hint="eastAsia" w:ascii="Times New Roman" w:hAnsi="Times New Roman" w:eastAsia="仿宋_GB2312" w:cs="仿宋_GB2312"/>
          <w:color w:val="auto"/>
          <w:sz w:val="32"/>
          <w:szCs w:val="32"/>
          <w:highlight w:val="none"/>
        </w:rPr>
        <w:t>三、支出决算表</w:t>
      </w:r>
      <w:bookmarkEnd w:id="49"/>
    </w:p>
    <w:p w14:paraId="696501C5">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0" w:name="_Toc15396622"/>
      <w:r>
        <w:rPr>
          <w:rFonts w:hint="eastAsia" w:ascii="Times New Roman" w:hAnsi="Times New Roman" w:eastAsia="仿宋_GB2312" w:cs="仿宋_GB2312"/>
          <w:color w:val="auto"/>
          <w:sz w:val="32"/>
          <w:szCs w:val="32"/>
          <w:highlight w:val="none"/>
        </w:rPr>
        <w:t>四、财政拨款收入支出决算总表</w:t>
      </w:r>
      <w:bookmarkEnd w:id="50"/>
    </w:p>
    <w:p w14:paraId="345A269D">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1" w:name="_Toc15396623"/>
      <w:r>
        <w:rPr>
          <w:rFonts w:hint="eastAsia" w:ascii="Times New Roman" w:hAnsi="Times New Roman" w:eastAsia="仿宋_GB2312" w:cs="仿宋_GB2312"/>
          <w:color w:val="auto"/>
          <w:sz w:val="32"/>
          <w:szCs w:val="32"/>
          <w:highlight w:val="none"/>
        </w:rPr>
        <w:t>五、财政拨款支出决算明细表</w:t>
      </w:r>
      <w:bookmarkEnd w:id="51"/>
      <w:bookmarkStart w:id="52" w:name="_Toc15396624"/>
    </w:p>
    <w:p w14:paraId="16E8E4B5">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2"/>
    </w:p>
    <w:p w14:paraId="53809C57">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3" w:name="_Toc15396625"/>
      <w:r>
        <w:rPr>
          <w:rFonts w:hint="eastAsia" w:ascii="Times New Roman" w:hAnsi="Times New Roman" w:eastAsia="仿宋_GB2312" w:cs="仿宋_GB2312"/>
          <w:color w:val="auto"/>
          <w:sz w:val="32"/>
          <w:szCs w:val="32"/>
          <w:highlight w:val="none"/>
        </w:rPr>
        <w:t>七、一般公共预算财政拨款支出决算明细表</w:t>
      </w:r>
      <w:bookmarkEnd w:id="53"/>
    </w:p>
    <w:p w14:paraId="4FFF41D6">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4" w:name="_Toc15396626"/>
      <w:r>
        <w:rPr>
          <w:rFonts w:hint="eastAsia" w:ascii="Times New Roman" w:hAnsi="Times New Roman" w:eastAsia="仿宋_GB2312" w:cs="仿宋_GB2312"/>
          <w:color w:val="auto"/>
          <w:sz w:val="32"/>
          <w:szCs w:val="32"/>
          <w:highlight w:val="none"/>
        </w:rPr>
        <w:t>八、一般公共预算财政拨款基本支出决算表</w:t>
      </w:r>
      <w:bookmarkEnd w:id="54"/>
    </w:p>
    <w:p w14:paraId="6A4A75C1">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5" w:name="_Toc15396627"/>
      <w:r>
        <w:rPr>
          <w:rFonts w:hint="eastAsia" w:ascii="Times New Roman" w:hAnsi="Times New Roman" w:eastAsia="仿宋_GB2312" w:cs="仿宋_GB2312"/>
          <w:color w:val="auto"/>
          <w:sz w:val="32"/>
          <w:szCs w:val="32"/>
          <w:highlight w:val="none"/>
        </w:rPr>
        <w:t>九、一般公共预算财政拨款项目支出决算表</w:t>
      </w:r>
      <w:bookmarkEnd w:id="55"/>
    </w:p>
    <w:p w14:paraId="2BC05B50">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6" w:name="_Toc15396628"/>
      <w:r>
        <w:rPr>
          <w:rFonts w:hint="eastAsia" w:ascii="Times New Roman" w:hAnsi="Times New Roman" w:eastAsia="仿宋_GB2312" w:cs="仿宋_GB2312"/>
          <w:color w:val="auto"/>
          <w:sz w:val="32"/>
          <w:szCs w:val="32"/>
          <w:highlight w:val="none"/>
        </w:rPr>
        <w:t>十、</w:t>
      </w:r>
      <w:bookmarkEnd w:id="56"/>
      <w:r>
        <w:rPr>
          <w:rFonts w:hint="eastAsia" w:ascii="Times New Roman" w:hAnsi="Times New Roman" w:eastAsia="仿宋_GB2312" w:cs="仿宋_GB2312"/>
          <w:color w:val="auto"/>
          <w:sz w:val="32"/>
          <w:szCs w:val="32"/>
          <w:highlight w:val="none"/>
        </w:rPr>
        <w:t>政府性基金预算财政拨款收入支出决算表</w:t>
      </w:r>
    </w:p>
    <w:p w14:paraId="35F233B4">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7" w:name="_Toc15396629"/>
      <w:r>
        <w:rPr>
          <w:rFonts w:hint="eastAsia" w:ascii="Times New Roman" w:hAnsi="Times New Roman" w:eastAsia="仿宋_GB2312" w:cs="仿宋_GB2312"/>
          <w:color w:val="auto"/>
          <w:sz w:val="32"/>
          <w:szCs w:val="32"/>
          <w:highlight w:val="none"/>
        </w:rPr>
        <w:t>十一、</w:t>
      </w:r>
      <w:bookmarkEnd w:id="5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1F7ABEA">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8" w:name="_Toc15396630"/>
      <w:r>
        <w:rPr>
          <w:rFonts w:hint="eastAsia" w:ascii="Times New Roman" w:hAnsi="Times New Roman" w:eastAsia="仿宋_GB2312" w:cs="仿宋_GB2312"/>
          <w:color w:val="auto"/>
          <w:sz w:val="32"/>
          <w:szCs w:val="32"/>
          <w:highlight w:val="none"/>
        </w:rPr>
        <w:t>十二、</w:t>
      </w:r>
      <w:bookmarkEnd w:id="58"/>
      <w:r>
        <w:rPr>
          <w:rFonts w:hint="eastAsia" w:ascii="Times New Roman" w:hAnsi="Times New Roman" w:eastAsia="仿宋_GB2312" w:cs="仿宋_GB2312"/>
          <w:color w:val="auto"/>
          <w:sz w:val="32"/>
          <w:szCs w:val="32"/>
          <w:highlight w:val="none"/>
          <w:lang w:eastAsia="zh-CN"/>
        </w:rPr>
        <w:t>国有资本经营预算财政拨款支出决算表</w:t>
      </w:r>
    </w:p>
    <w:p w14:paraId="33C6D483">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lang w:eastAsia="zh-CN"/>
        </w:rPr>
      </w:pPr>
      <w:bookmarkStart w:id="59" w:name="_Toc15396631"/>
      <w:r>
        <w:rPr>
          <w:rFonts w:hint="eastAsia" w:ascii="Times New Roman" w:hAnsi="Times New Roman" w:eastAsia="仿宋_GB2312" w:cs="仿宋_GB2312"/>
          <w:color w:val="auto"/>
          <w:sz w:val="32"/>
          <w:szCs w:val="32"/>
          <w:highlight w:val="none"/>
        </w:rPr>
        <w:t>十三、</w:t>
      </w:r>
      <w:bookmarkEnd w:id="59"/>
      <w:r>
        <w:rPr>
          <w:rFonts w:hint="eastAsia" w:ascii="Times New Roman" w:hAnsi="Times New Roman" w:eastAsia="仿宋_GB2312" w:cs="仿宋_GB2312"/>
          <w:color w:val="auto"/>
          <w:sz w:val="32"/>
          <w:szCs w:val="32"/>
          <w:highlight w:val="none"/>
          <w:lang w:eastAsia="zh-CN"/>
        </w:rPr>
        <w:t>财政拨款“三公”经费支出决算表</w:t>
      </w:r>
    </w:p>
    <w:p w14:paraId="21493A24">
      <w:pPr>
        <w:pageBreakBefore w:val="0"/>
        <w:kinsoku/>
        <w:wordWrap/>
        <w:overflowPunct/>
        <w:topLinePunct w:val="0"/>
        <w:autoSpaceDE/>
        <w:autoSpaceDN/>
        <w:bidi w:val="0"/>
        <w:spacing w:line="572" w:lineRule="exact"/>
        <w:textAlignment w:val="auto"/>
        <w:rPr>
          <w:rFonts w:hint="eastAsia" w:ascii="Times New Roman" w:hAnsi="Times New Roman"/>
          <w:highlight w:val="none"/>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5861B">
    <w:pPr>
      <w:pStyle w:val="10"/>
      <w:jc w:val="center"/>
    </w:pPr>
  </w:p>
  <w:p w14:paraId="5F42529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C479">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2597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42597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F671">
    <w:pPr>
      <w:pStyle w:val="10"/>
      <w:jc w:val="center"/>
    </w:pPr>
  </w:p>
  <w:p w14:paraId="6087BF6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442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9CFF2">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3F9CFF2">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3DB10170">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898E3">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23367">
                          <w:pPr>
                            <w:pStyle w:val="1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5B23367">
                    <w:pPr>
                      <w:pStyle w:val="1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9BB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4EA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BAE62"/>
    <w:multiLevelType w:val="singleLevel"/>
    <w:tmpl w:val="962BAE62"/>
    <w:lvl w:ilvl="0" w:tentative="0">
      <w:start w:val="1"/>
      <w:numFmt w:val="chineseCounting"/>
      <w:suff w:val="nothing"/>
      <w:lvlText w:val="%1、"/>
      <w:lvlJc w:val="left"/>
      <w:rPr>
        <w:rFonts w:hint="eastAsia"/>
      </w:rPr>
    </w:lvl>
  </w:abstractNum>
  <w:abstractNum w:abstractNumId="1">
    <w:nsid w:val="964A89FE"/>
    <w:multiLevelType w:val="singleLevel"/>
    <w:tmpl w:val="964A89FE"/>
    <w:lvl w:ilvl="0" w:tentative="0">
      <w:start w:val="2"/>
      <w:numFmt w:val="chineseCounting"/>
      <w:suff w:val="nothing"/>
      <w:lvlText w:val="（%1）"/>
      <w:lvlJc w:val="left"/>
      <w:rPr>
        <w:rFonts w:hint="eastAsia"/>
      </w:rPr>
    </w:lvl>
  </w:abstractNum>
  <w:abstractNum w:abstractNumId="2">
    <w:nsid w:val="C85D64C6"/>
    <w:multiLevelType w:val="singleLevel"/>
    <w:tmpl w:val="C85D64C6"/>
    <w:lvl w:ilvl="0" w:tentative="0">
      <w:start w:val="2"/>
      <w:numFmt w:val="chineseCounting"/>
      <w:suff w:val="nothing"/>
      <w:lvlText w:val="（%1）"/>
      <w:lvlJc w:val="left"/>
      <w:rPr>
        <w:rFonts w:hint="eastAsia"/>
      </w:rPr>
    </w:lvl>
  </w:abstractNum>
  <w:abstractNum w:abstractNumId="3">
    <w:nsid w:val="370DD8EC"/>
    <w:multiLevelType w:val="singleLevel"/>
    <w:tmpl w:val="370DD8EC"/>
    <w:lvl w:ilvl="0" w:tentative="0">
      <w:start w:val="2"/>
      <w:numFmt w:val="chineseCounting"/>
      <w:suff w:val="nothing"/>
      <w:lvlText w:val="（%1）"/>
      <w:lvlJc w:val="left"/>
      <w:rPr>
        <w:rFonts w:hint="eastAsia"/>
      </w:rPr>
    </w:lvl>
  </w:abstractNum>
  <w:abstractNum w:abstractNumId="4">
    <w:nsid w:val="7DCCDAA0"/>
    <w:multiLevelType w:val="singleLevel"/>
    <w:tmpl w:val="7DCCDAA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5AD3936"/>
    <w:rsid w:val="061E35DE"/>
    <w:rsid w:val="066E0107"/>
    <w:rsid w:val="06AB431A"/>
    <w:rsid w:val="07996F6E"/>
    <w:rsid w:val="07DFD8BA"/>
    <w:rsid w:val="09867E8F"/>
    <w:rsid w:val="09A04596"/>
    <w:rsid w:val="09E6593F"/>
    <w:rsid w:val="0A2032A3"/>
    <w:rsid w:val="0A3D4E0D"/>
    <w:rsid w:val="0CA8290A"/>
    <w:rsid w:val="0D35B1ED"/>
    <w:rsid w:val="0E067DCD"/>
    <w:rsid w:val="0F98263C"/>
    <w:rsid w:val="101860EC"/>
    <w:rsid w:val="10BB784F"/>
    <w:rsid w:val="10C055FF"/>
    <w:rsid w:val="11772AA4"/>
    <w:rsid w:val="118107EC"/>
    <w:rsid w:val="13D50BC4"/>
    <w:rsid w:val="143E620F"/>
    <w:rsid w:val="1603453D"/>
    <w:rsid w:val="165E0673"/>
    <w:rsid w:val="16BB723D"/>
    <w:rsid w:val="16C84AFE"/>
    <w:rsid w:val="170E16D7"/>
    <w:rsid w:val="186504BB"/>
    <w:rsid w:val="192817FA"/>
    <w:rsid w:val="19A445FC"/>
    <w:rsid w:val="1A9FE8C6"/>
    <w:rsid w:val="1B5E4E7B"/>
    <w:rsid w:val="1BE8440E"/>
    <w:rsid w:val="1D155CEE"/>
    <w:rsid w:val="1E740ACF"/>
    <w:rsid w:val="1F971487"/>
    <w:rsid w:val="1FF35744"/>
    <w:rsid w:val="1FF6BC77"/>
    <w:rsid w:val="200715D0"/>
    <w:rsid w:val="22342FBD"/>
    <w:rsid w:val="228B5B9B"/>
    <w:rsid w:val="23860B96"/>
    <w:rsid w:val="240371BF"/>
    <w:rsid w:val="259A6AE8"/>
    <w:rsid w:val="260F557C"/>
    <w:rsid w:val="281408E2"/>
    <w:rsid w:val="29FD04D3"/>
    <w:rsid w:val="2BFF7BC6"/>
    <w:rsid w:val="2C8A61B5"/>
    <w:rsid w:val="2D6E4D3A"/>
    <w:rsid w:val="2DF04E50"/>
    <w:rsid w:val="2F040D46"/>
    <w:rsid w:val="2F9C7171"/>
    <w:rsid w:val="2FAE5751"/>
    <w:rsid w:val="2FB1A395"/>
    <w:rsid w:val="2FD9A7D8"/>
    <w:rsid w:val="2FDBF714"/>
    <w:rsid w:val="308C2ED5"/>
    <w:rsid w:val="319F7F4E"/>
    <w:rsid w:val="31C3435E"/>
    <w:rsid w:val="32BD1EF1"/>
    <w:rsid w:val="3304709D"/>
    <w:rsid w:val="33BC4B8C"/>
    <w:rsid w:val="349D6851"/>
    <w:rsid w:val="36AA5135"/>
    <w:rsid w:val="36BE0DA7"/>
    <w:rsid w:val="376B6AA6"/>
    <w:rsid w:val="376D39B2"/>
    <w:rsid w:val="37E16F03"/>
    <w:rsid w:val="37F53A3B"/>
    <w:rsid w:val="389B6C89"/>
    <w:rsid w:val="38D469F0"/>
    <w:rsid w:val="395B30CE"/>
    <w:rsid w:val="39627CCD"/>
    <w:rsid w:val="397BAF1F"/>
    <w:rsid w:val="39876B41"/>
    <w:rsid w:val="3AB6680E"/>
    <w:rsid w:val="3AB79AF3"/>
    <w:rsid w:val="3AFB781A"/>
    <w:rsid w:val="3B7EF35A"/>
    <w:rsid w:val="3B9FDB6C"/>
    <w:rsid w:val="3BF5BC2F"/>
    <w:rsid w:val="3CEBA265"/>
    <w:rsid w:val="3D98207C"/>
    <w:rsid w:val="3DEE7CF3"/>
    <w:rsid w:val="3E78745D"/>
    <w:rsid w:val="3F55381A"/>
    <w:rsid w:val="3F7F7599"/>
    <w:rsid w:val="3FF4CAE0"/>
    <w:rsid w:val="3FF7B227"/>
    <w:rsid w:val="40E85212"/>
    <w:rsid w:val="410E107E"/>
    <w:rsid w:val="418F295E"/>
    <w:rsid w:val="44A1408B"/>
    <w:rsid w:val="44E268DA"/>
    <w:rsid w:val="4569598D"/>
    <w:rsid w:val="47DE4C5C"/>
    <w:rsid w:val="48474F49"/>
    <w:rsid w:val="486A6C7A"/>
    <w:rsid w:val="4A627F82"/>
    <w:rsid w:val="4A7F2743"/>
    <w:rsid w:val="4AAA44E3"/>
    <w:rsid w:val="4B0E749A"/>
    <w:rsid w:val="4B4F25DA"/>
    <w:rsid w:val="4BE068DB"/>
    <w:rsid w:val="4C883D82"/>
    <w:rsid w:val="4D2F41FE"/>
    <w:rsid w:val="4D577224"/>
    <w:rsid w:val="4DBF1CEB"/>
    <w:rsid w:val="4EAB630A"/>
    <w:rsid w:val="4ECE2238"/>
    <w:rsid w:val="4F833267"/>
    <w:rsid w:val="4FE9BD67"/>
    <w:rsid w:val="4FFB052F"/>
    <w:rsid w:val="50BB0282"/>
    <w:rsid w:val="51091B53"/>
    <w:rsid w:val="537E6D0A"/>
    <w:rsid w:val="53DA4EC3"/>
    <w:rsid w:val="53F74C96"/>
    <w:rsid w:val="555F055A"/>
    <w:rsid w:val="56E47B74"/>
    <w:rsid w:val="57171DD3"/>
    <w:rsid w:val="57BD3DD4"/>
    <w:rsid w:val="5AF92295"/>
    <w:rsid w:val="5BDD79E6"/>
    <w:rsid w:val="5BF561CA"/>
    <w:rsid w:val="5BFF5DFC"/>
    <w:rsid w:val="5C851DD0"/>
    <w:rsid w:val="5CD71FC4"/>
    <w:rsid w:val="5D1F11B5"/>
    <w:rsid w:val="5D2418A5"/>
    <w:rsid w:val="5DAE1B18"/>
    <w:rsid w:val="5DE7D9E5"/>
    <w:rsid w:val="5ECEC941"/>
    <w:rsid w:val="5FBF9FF3"/>
    <w:rsid w:val="5FCD4E2C"/>
    <w:rsid w:val="5FEF394A"/>
    <w:rsid w:val="5FF67715"/>
    <w:rsid w:val="605E53CB"/>
    <w:rsid w:val="62BF3928"/>
    <w:rsid w:val="63755EBC"/>
    <w:rsid w:val="63994651"/>
    <w:rsid w:val="647F5392"/>
    <w:rsid w:val="656A0440"/>
    <w:rsid w:val="664B1D71"/>
    <w:rsid w:val="674072DB"/>
    <w:rsid w:val="67AA3209"/>
    <w:rsid w:val="67C14C80"/>
    <w:rsid w:val="69110F58"/>
    <w:rsid w:val="698D0931"/>
    <w:rsid w:val="69B63885"/>
    <w:rsid w:val="6A1B204A"/>
    <w:rsid w:val="6A7FE5F3"/>
    <w:rsid w:val="6AAD6A66"/>
    <w:rsid w:val="6B053271"/>
    <w:rsid w:val="6BEC2AAA"/>
    <w:rsid w:val="6C4A05C8"/>
    <w:rsid w:val="6C8742B8"/>
    <w:rsid w:val="6DBF5E93"/>
    <w:rsid w:val="6DF130DE"/>
    <w:rsid w:val="6DFF077E"/>
    <w:rsid w:val="6E7E3605"/>
    <w:rsid w:val="6E7FDCC7"/>
    <w:rsid w:val="6ED6A62E"/>
    <w:rsid w:val="6EE00B15"/>
    <w:rsid w:val="6F6FB3EB"/>
    <w:rsid w:val="6F8731EA"/>
    <w:rsid w:val="6F9A4CE6"/>
    <w:rsid w:val="6FCE6052"/>
    <w:rsid w:val="6FD57C00"/>
    <w:rsid w:val="6FEFFFD8"/>
    <w:rsid w:val="6FF5CC65"/>
    <w:rsid w:val="6FFB47EC"/>
    <w:rsid w:val="6FFF034A"/>
    <w:rsid w:val="70A408DB"/>
    <w:rsid w:val="70DF36E1"/>
    <w:rsid w:val="712A28F1"/>
    <w:rsid w:val="715840E9"/>
    <w:rsid w:val="715C0E4B"/>
    <w:rsid w:val="72233669"/>
    <w:rsid w:val="72734D90"/>
    <w:rsid w:val="7332FE48"/>
    <w:rsid w:val="73AB61DA"/>
    <w:rsid w:val="73AD73D5"/>
    <w:rsid w:val="73B6EB34"/>
    <w:rsid w:val="73FA497D"/>
    <w:rsid w:val="744731E5"/>
    <w:rsid w:val="7474318F"/>
    <w:rsid w:val="74BBD01D"/>
    <w:rsid w:val="74D13EDE"/>
    <w:rsid w:val="74ED5379"/>
    <w:rsid w:val="75DEEEC2"/>
    <w:rsid w:val="76D77C1C"/>
    <w:rsid w:val="76E3355F"/>
    <w:rsid w:val="76FF5125"/>
    <w:rsid w:val="776F6FFA"/>
    <w:rsid w:val="77834295"/>
    <w:rsid w:val="778769C8"/>
    <w:rsid w:val="77DC22F5"/>
    <w:rsid w:val="79086DAD"/>
    <w:rsid w:val="79724C28"/>
    <w:rsid w:val="79D7FD79"/>
    <w:rsid w:val="79EE5BA4"/>
    <w:rsid w:val="7A894339"/>
    <w:rsid w:val="7AD284E8"/>
    <w:rsid w:val="7AFF7572"/>
    <w:rsid w:val="7B6C7DFB"/>
    <w:rsid w:val="7BBFBED0"/>
    <w:rsid w:val="7BC3E394"/>
    <w:rsid w:val="7BF211CD"/>
    <w:rsid w:val="7C1F3737"/>
    <w:rsid w:val="7CBFC87B"/>
    <w:rsid w:val="7CFE0F48"/>
    <w:rsid w:val="7D7EC23E"/>
    <w:rsid w:val="7DF0037F"/>
    <w:rsid w:val="7E8ADEBF"/>
    <w:rsid w:val="7EEF11D3"/>
    <w:rsid w:val="7EFE4840"/>
    <w:rsid w:val="7F0971A6"/>
    <w:rsid w:val="7F3F679B"/>
    <w:rsid w:val="7F4FC4EF"/>
    <w:rsid w:val="7F5E4D54"/>
    <w:rsid w:val="7F6E0135"/>
    <w:rsid w:val="7F79F205"/>
    <w:rsid w:val="7F822137"/>
    <w:rsid w:val="7FA30C79"/>
    <w:rsid w:val="7FA79C44"/>
    <w:rsid w:val="7FAC7B76"/>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7DAB09"/>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Normal Indent"/>
    <w:basedOn w:val="1"/>
    <w:next w:val="1"/>
    <w:qFormat/>
    <w:uiPriority w:val="0"/>
    <w:pPr>
      <w:ind w:firstLine="420" w:firstLineChars="200"/>
    </w:pPr>
    <w:rPr>
      <w:rFonts w:ascii="Times New Roman" w:hAnsi="Times New Roman" w:eastAsia="仿宋_GB2312"/>
      <w:sz w:val="32"/>
    </w:rPr>
  </w:style>
  <w:style w:type="paragraph" w:styleId="8">
    <w:name w:val="index 5"/>
    <w:basedOn w:val="1"/>
    <w:next w:val="1"/>
    <w:qFormat/>
    <w:uiPriority w:val="0"/>
    <w:pPr>
      <w:ind w:left="1680"/>
    </w:pPr>
  </w:style>
  <w:style w:type="paragraph" w:styleId="9">
    <w:name w:val="Body Text"/>
    <w:basedOn w:val="1"/>
    <w:next w:val="10"/>
    <w:link w:val="28"/>
    <w:qFormat/>
    <w:uiPriority w:val="99"/>
    <w:pPr>
      <w:spacing w:beforeLines="30"/>
    </w:pPr>
    <w:rPr>
      <w:rFonts w:ascii="仿宋_GB2312" w:eastAsia="仿宋_GB2312"/>
      <w:kern w:val="0"/>
      <w:sz w:val="30"/>
    </w:rPr>
  </w:style>
  <w:style w:type="paragraph" w:styleId="10">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adjustRightInd w:val="0"/>
      <w:snapToGrid w:val="0"/>
      <w:spacing w:line="572" w:lineRule="exact"/>
      <w:jc w:val="left"/>
    </w:pPr>
    <w:rPr>
      <w:rFonts w:ascii="Times New Roman" w:hAnsi="Times New Roman" w:eastAsia="黑体" w:cs="黑体"/>
      <w:color w:val="auto"/>
      <w:sz w:val="32"/>
      <w:szCs w:val="32"/>
      <w:highlight w:val="none"/>
    </w:rPr>
  </w:style>
  <w:style w:type="paragraph" w:styleId="15">
    <w:name w:val="footnote text"/>
    <w:basedOn w:val="1"/>
    <w:next w:val="2"/>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4"/>
    <w:qFormat/>
    <w:uiPriority w:val="9"/>
    <w:rPr>
      <w:rFonts w:ascii="Times New Roman" w:hAnsi="Times New Roman"/>
      <w:b/>
      <w:bCs/>
      <w:kern w:val="44"/>
      <w:sz w:val="44"/>
      <w:szCs w:val="44"/>
    </w:rPr>
  </w:style>
  <w:style w:type="character" w:customStyle="1" w:styleId="32">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semiHidden/>
    <w:qFormat/>
    <w:uiPriority w:val="99"/>
    <w:rPr>
      <w:rFonts w:ascii="Times New Roman" w:hAnsi="Times New Roman"/>
      <w:kern w:val="2"/>
      <w:sz w:val="18"/>
      <w:szCs w:val="18"/>
    </w:rPr>
  </w:style>
  <w:style w:type="character" w:customStyle="1" w:styleId="35">
    <w:name w:val="标题 3 Char"/>
    <w:basedOn w:val="19"/>
    <w:link w:val="6"/>
    <w:qFormat/>
    <w:uiPriority w:val="9"/>
    <w:rPr>
      <w:rFonts w:ascii="Times New Roman" w:hAnsi="Times New Roman"/>
      <w:b/>
      <w:bCs/>
      <w:kern w:val="2"/>
      <w:sz w:val="32"/>
      <w:szCs w:val="32"/>
    </w:r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 Char Char5"/>
    <w:basedOn w:val="19"/>
    <w:link w:val="5"/>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收、支决算总计变动情况图</a:t>
            </a: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Sheet1!$B$1</c:f>
              <c:strCache>
                <c:ptCount val="1"/>
                <c:pt idx="0">
                  <c:v/>
                </c:pt>
              </c:strCache>
            </c:strRef>
          </c:tx>
          <c:spPr>
            <a:gradFill>
              <a:gsLst>
                <a:gs pos="0">
                  <a:srgbClr val="EE5596"/>
                </a:gs>
                <a:gs pos="100000">
                  <a:srgbClr val="F9B621"/>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2023年</c:v>
                </c:pt>
                <c:pt idx="1">
                  <c:v>2024年</c:v>
                </c:pt>
              </c:strCache>
            </c:strRef>
          </c:cat>
          <c:val>
            <c:numRef>
              <c:f>Sheet1!$B$2:$B$3</c:f>
              <c:numCache>
                <c:formatCode>General</c:formatCode>
                <c:ptCount val="2"/>
                <c:pt idx="0">
                  <c:v>1878.58</c:v>
                </c:pt>
                <c:pt idx="1">
                  <c:v>1854.52</c:v>
                </c:pt>
              </c:numCache>
            </c:numRef>
          </c:val>
        </c:ser>
        <c:dLbls>
          <c:showLegendKey val="0"/>
          <c:showVal val="1"/>
          <c:showCatName val="0"/>
          <c:showSerName val="0"/>
          <c:showPercent val="0"/>
          <c:showBubbleSize val="0"/>
        </c:dLbls>
        <c:gapWidth val="219"/>
        <c:overlap val="-27"/>
        <c:axId val="285441266"/>
        <c:axId val="351947942"/>
      </c:barChart>
      <c:catAx>
        <c:axId val="285441266"/>
        <c:scaling>
          <c:orientation val="minMax"/>
        </c:scaling>
        <c:delete val="0"/>
        <c:axPos val="b"/>
        <c:majorGridlines>
          <c:spPr>
            <a:ln w="9525" cap="flat" cmpd="sng" algn="ctr">
              <a:solidFill>
                <a:schemeClr val="bg1">
                  <a:lumMod val="85000"/>
                </a:scheme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年度</a:t>
                </a:r>
              </a:p>
            </c:rich>
          </c:tx>
          <c:layout>
            <c:manualLayout>
              <c:xMode val="edge"/>
              <c:yMode val="edge"/>
              <c:x val="0.904374815983799"/>
              <c:y val="0.8856778580535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947942"/>
        <c:crosses val="autoZero"/>
        <c:auto val="1"/>
        <c:lblAlgn val="ctr"/>
        <c:lblOffset val="100"/>
        <c:noMultiLvlLbl val="0"/>
      </c:catAx>
      <c:valAx>
        <c:axId val="351947942"/>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万元</a:t>
                </a:r>
              </a:p>
            </c:rich>
          </c:tx>
          <c:layout>
            <c:manualLayout>
              <c:xMode val="edge"/>
              <c:yMode val="edge"/>
              <c:x val="0.0597970524281227"/>
              <c:y val="0.09796005099872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5441266"/>
        <c:crosses val="autoZero"/>
        <c:crossBetween val="between"/>
      </c:valAx>
      <c:spPr>
        <a:noFill/>
        <a:ln>
          <a:solidFill>
            <a:schemeClr val="bg1">
              <a:lumMod val="85000"/>
            </a:schemeClr>
          </a:solidFill>
        </a:ln>
        <a:effectLst/>
      </c:spPr>
    </c:plotArea>
    <c:plotVisOnly val="1"/>
    <c:dispBlanksAs val="gap"/>
    <c:showDLblsOverMax val="0"/>
    <c:extLst>
      <c:ext uri="{0b15fc19-7d7d-44ad-8c2d-2c3a37ce22c3}">
        <chartProps xmlns="https://web.wps.cn/et/2018/main" chartId="{014da734-192e-48b9-9163-437a248d345c}"/>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81.06</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其他收入</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18.94</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1472.64</c:v>
                </c:pt>
                <c:pt idx="1">
                  <c:v>344.03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1087be-345d-45a8-a40b-d6fc52a524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811581404277804"/>
                  <c:y val="-0.2414895677285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a:t>
                    </a:r>
                    <a:r>
                      <a:rPr lang="en-US" altLang="zh-CN"/>
                      <a:t>75.02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19785034001087"/>
                  <c:y val="0.05468219075996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r>
                      <a:rPr lang="en-US" altLang="zh-CN"/>
                      <a:t>24.98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1368.96</c:v>
                </c:pt>
                <c:pt idx="1">
                  <c:v>455.85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0304259634888"/>
          <c:y val="0.41412349183818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0f05ef-4e5e-47ac-a612-b56e7d7c3b3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2023年</c:v>
                </c:pt>
                <c:pt idx="1">
                  <c:v>2024年</c:v>
                </c:pt>
              </c:strCache>
            </c:strRef>
          </c:cat>
          <c:val>
            <c:numRef>
              <c:f>Sheet1!$B$2:$B$3</c:f>
              <c:numCache>
                <c:formatCode>General</c:formatCode>
                <c:ptCount val="2"/>
                <c:pt idx="0">
                  <c:v>1282.03</c:v>
                </c:pt>
                <c:pt idx="1">
                  <c:v>1472.64</c:v>
                </c:pt>
              </c:numCache>
            </c:numRef>
          </c:val>
        </c:ser>
        <c:dLbls>
          <c:showLegendKey val="0"/>
          <c:showVal val="1"/>
          <c:showCatName val="0"/>
          <c:showSerName val="0"/>
          <c:showPercent val="0"/>
          <c:showBubbleSize val="0"/>
        </c:dLbls>
        <c:gapWidth val="150"/>
        <c:overlap val="0"/>
        <c:axId val="699680085"/>
        <c:axId val="899438002"/>
      </c:barChart>
      <c:catAx>
        <c:axId val="69968008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92646376063967"/>
              <c:y val="0.805477528089888"/>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438002"/>
        <c:crosses val="autoZero"/>
        <c:auto val="1"/>
        <c:lblAlgn val="ctr"/>
        <c:lblOffset val="100"/>
        <c:noMultiLvlLbl val="0"/>
      </c:catAx>
      <c:valAx>
        <c:axId val="899438002"/>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manualLayout>
              <c:xMode val="edge"/>
              <c:yMode val="edge"/>
              <c:x val="0.0341759092081506"/>
              <c:y val="0.0070224719101123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9680085"/>
        <c:crosses val="autoZero"/>
        <c:crossBetween val="between"/>
      </c:valAx>
      <c:spPr>
        <a:noFill/>
        <a:ln>
          <a:noFill/>
        </a:ln>
        <a:effectLst/>
      </c:spPr>
    </c:plotArea>
    <c:plotVisOnly val="1"/>
    <c:dispBlanksAs val="gap"/>
    <c:showDLblsOverMax val="0"/>
    <c:extLst>
      <c:ext uri="{0b15fc19-7d7d-44ad-8c2d-2c3a37ce22c3}">
        <chartProps xmlns="https://web.wps.cn/et/2018/main" chartId="{03cc9789-c04d-46da-9719-9e92df578c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2023年</c:v>
                </c:pt>
                <c:pt idx="1">
                  <c:v>2024年</c:v>
                </c:pt>
              </c:strCache>
            </c:strRef>
          </c:cat>
          <c:val>
            <c:numRef>
              <c:f>Sheet1!$B$2:$B$3</c:f>
              <c:numCache>
                <c:formatCode>General</c:formatCode>
                <c:ptCount val="2"/>
                <c:pt idx="0">
                  <c:v>1282.03</c:v>
                </c:pt>
                <c:pt idx="1">
                  <c:v>1472.64</c:v>
                </c:pt>
              </c:numCache>
            </c:numRef>
          </c:val>
        </c:ser>
        <c:dLbls>
          <c:showLegendKey val="0"/>
          <c:showVal val="1"/>
          <c:showCatName val="0"/>
          <c:showSerName val="0"/>
          <c:showPercent val="0"/>
          <c:showBubbleSize val="0"/>
        </c:dLbls>
        <c:gapWidth val="246"/>
        <c:overlap val="-28"/>
        <c:axId val="559545911"/>
        <c:axId val="385272785"/>
      </c:barChart>
      <c:catAx>
        <c:axId val="559545911"/>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91220721961973"/>
              <c:y val="0.811244979919679"/>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272785"/>
        <c:crosses val="autoZero"/>
        <c:auto val="1"/>
        <c:lblAlgn val="ctr"/>
        <c:lblOffset val="100"/>
        <c:noMultiLvlLbl val="0"/>
      </c:catAx>
      <c:valAx>
        <c:axId val="385272785"/>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manualLayout>
              <c:xMode val="edge"/>
              <c:yMode val="edge"/>
              <c:x val="0.0344447506200055"/>
              <c:y val="0.02927264614011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9545911"/>
        <c:crosses val="autoZero"/>
        <c:crossBetween val="between"/>
      </c:valAx>
      <c:spPr>
        <a:noFill/>
        <a:ln>
          <a:noFill/>
        </a:ln>
        <a:effectLst/>
      </c:spPr>
    </c:plotArea>
    <c:plotVisOnly val="1"/>
    <c:dispBlanksAs val="gap"/>
    <c:showDLblsOverMax val="0"/>
    <c:extLst>
      <c:ext uri="{0b15fc19-7d7d-44ad-8c2d-2c3a37ce22c3}">
        <chartProps xmlns="https://web.wps.cn/et/2018/main" chartId="{b6fa2d77-b640-4329-b1ec-d4893a699c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一般公共预算财政拨款支出决算结构情况</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13654247229008"/>
                  <c:y val="-0.17949722973527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公共安全支出</a:t>
                    </a:r>
                    <a:r>
                      <a:rPr lang="en-US" altLang="zh-CN"/>
                      <a:t>83.03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32493144832001"/>
                  <c:y val="0.087098423552504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住房保障支出</a:t>
                    </a:r>
                    <a:r>
                      <a:rPr lang="en-US" altLang="zh-CN"/>
                      <a:t>90.35</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98784253331813"/>
                  <c:y val="0.0060944136064745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卫生健康支出</a:t>
                    </a:r>
                    <a:r>
                      <a:rPr lang="en-US" altLang="zh-CN"/>
                      <a:t>59.81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638307182435672"/>
                  <c:y val="0.06463390055833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社会保障和就业支出</a:t>
                    </a:r>
                    <a:r>
                      <a:rPr lang="en-US" altLang="zh-CN"/>
                      <a:t>6.77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住房保障支出</c:v>
                </c:pt>
                <c:pt idx="2">
                  <c:v>卫生健康支出</c:v>
                </c:pt>
                <c:pt idx="3">
                  <c:v>社会保障和就业支出</c:v>
                </c:pt>
              </c:strCache>
            </c:strRef>
          </c:cat>
          <c:val>
            <c:numRef>
              <c:f>Sheet1!$B$2:$B$5</c:f>
              <c:numCache>
                <c:formatCode>General</c:formatCode>
                <c:ptCount val="4"/>
                <c:pt idx="0">
                  <c:v>1222.79</c:v>
                </c:pt>
                <c:pt idx="1">
                  <c:v>90.35</c:v>
                </c:pt>
                <c:pt idx="2">
                  <c:v>59.81</c:v>
                </c:pt>
                <c:pt idx="3">
                  <c:v>99.7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c5dc508-fad9-4a8d-9fb9-1951a5fc98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t>三公</a:t>
            </a:r>
            <a:r>
              <a:rPr lang="en-US" altLang="zh-CN"/>
              <a:t>”</a:t>
            </a:r>
            <a:r>
              <a:t>经费财政拨款支出结构</a:t>
            </a:r>
          </a:p>
        </c:rich>
      </c:tx>
      <c:layout>
        <c:manualLayout>
          <c:xMode val="edge"/>
          <c:yMode val="edge"/>
          <c:x val="0.239803726020932"/>
          <c:y val="0.0194761133746011"/>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159182561614902"/>
                  <c:y val="-0.08537842852972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公务用车运行维护费</a:t>
                    </a:r>
                    <a:r>
                      <a:rPr lang="en-US" altLang="zh-CN"/>
                      <a:t>30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3260344827636"/>
                  <c:y val="0.037318463005432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公务用车购置费</a:t>
                    </a:r>
                    <a:r>
                      <a:rPr lang="en-US" altLang="zh-CN"/>
                      <a:t>60.07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6095741597444"/>
                  <c:y val="0.047375761626057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公务接待费</a:t>
                    </a:r>
                    <a:r>
                      <a:rPr lang="en-US" altLang="zh-CN"/>
                      <a:t>1.93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公务用车运行维护费</c:v>
                </c:pt>
                <c:pt idx="1">
                  <c:v>公务公车购置费</c:v>
                </c:pt>
                <c:pt idx="2">
                  <c:v>公务接待费</c:v>
                </c:pt>
              </c:strCache>
            </c:strRef>
          </c:cat>
          <c:val>
            <c:numRef>
              <c:f>Sheet1!$B$2:$B$4</c:f>
              <c:numCache>
                <c:formatCode>General</c:formatCode>
                <c:ptCount val="3"/>
                <c:pt idx="0">
                  <c:v>22.99</c:v>
                </c:pt>
                <c:pt idx="1">
                  <c:v>52.16</c:v>
                </c:pt>
                <c:pt idx="2">
                  <c:v>1.49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dc1cc4-4a7f-4682-aba3-1dd6628c58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9733</Words>
  <Characters>10745</Characters>
  <Lines>61</Lines>
  <Paragraphs>17</Paragraphs>
  <TotalTime>5</TotalTime>
  <ScaleCrop>false</ScaleCrop>
  <LinksUpToDate>false</LinksUpToDate>
  <CharactersWithSpaces>10803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饮冰室客人</cp:lastModifiedBy>
  <cp:lastPrinted>2025-09-16T02:03:00Z</cp:lastPrinted>
  <dcterms:modified xsi:type="dcterms:W3CDTF">2025-10-15T01:09:15Z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3BF536824C220DA3E40E8B68BA118B1C_42</vt:lpwstr>
  </property>
  <property fmtid="{D5CDD505-2E9C-101B-9397-08002B2CF9AE}" pid="4" name="KSOTemplateDocerSaveRecord">
    <vt:lpwstr>eyJoZGlkIjoiMTg3ZWQxYjRkZDcwYzJjOTA4ODM5ZTQzOGNlYTkyZGMiLCJ1c2VySWQiOiI4OTMwNjg1MTIifQ==</vt:lpwstr>
  </property>
</Properties>
</file>