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34905">
      <w:pPr>
        <w:widowControl/>
        <w:spacing w:line="580" w:lineRule="exact"/>
        <w:jc w:val="center"/>
        <w:rPr>
          <w:rFonts w:hint="eastAsia" w:ascii="方正小标宋简体" w:hAnsi="Times New Roman" w:eastAsia="方正小标宋简体" w:cs="Times New Roman"/>
          <w:b w:val="0"/>
          <w:bCs w:val="0"/>
          <w:kern w:val="2"/>
          <w:sz w:val="44"/>
          <w:szCs w:val="44"/>
          <w:lang w:val="en-US" w:eastAsia="zh-CN" w:bidi="ar-SA"/>
        </w:rPr>
      </w:pPr>
      <w:r>
        <w:rPr>
          <w:rFonts w:hint="eastAsia" w:ascii="方正小标宋简体" w:hAnsi="Times New Roman" w:eastAsia="方正小标宋简体" w:cs="Times New Roman"/>
          <w:b w:val="0"/>
          <w:bCs w:val="0"/>
          <w:kern w:val="2"/>
          <w:sz w:val="44"/>
          <w:szCs w:val="44"/>
          <w:lang w:val="en-US" w:eastAsia="zh-CN" w:bidi="ar-SA"/>
        </w:rPr>
        <w:t>荣县人民检察院</w:t>
      </w:r>
    </w:p>
    <w:p w14:paraId="030030B6">
      <w:pPr>
        <w:pageBreakBefore w:val="0"/>
        <w:widowControl/>
        <w:kinsoku/>
        <w:wordWrap/>
        <w:overflowPunct/>
        <w:topLinePunct w:val="0"/>
        <w:autoSpaceDE/>
        <w:autoSpaceDN/>
        <w:bidi w:val="0"/>
        <w:adjustRightInd/>
        <w:snapToGrid/>
        <w:spacing w:line="560" w:lineRule="atLeast"/>
        <w:jc w:val="center"/>
        <w:textAlignment w:val="auto"/>
        <w:rPr>
          <w:rFonts w:ascii="方正小标宋简体" w:eastAsia="方正小标宋简体"/>
          <w:sz w:val="44"/>
          <w:szCs w:val="44"/>
        </w:rPr>
      </w:pPr>
      <w:r>
        <w:rPr>
          <w:rFonts w:hint="eastAsia" w:ascii="方正小标宋简体" w:eastAsia="方正小标宋简体"/>
          <w:sz w:val="44"/>
          <w:szCs w:val="44"/>
          <w:lang w:val="en-US" w:eastAsia="zh-CN"/>
        </w:rPr>
        <w:t>2023年</w:t>
      </w:r>
      <w:r>
        <w:rPr>
          <w:rFonts w:hint="eastAsia" w:ascii="方正小标宋简体" w:eastAsia="方正小标宋简体"/>
          <w:sz w:val="44"/>
          <w:szCs w:val="44"/>
        </w:rPr>
        <w:t>度部门决算编制的说明</w:t>
      </w:r>
    </w:p>
    <w:p w14:paraId="127084B9">
      <w:pPr>
        <w:pageBreakBefore w:val="0"/>
        <w:widowControl/>
        <w:kinsoku/>
        <w:wordWrap/>
        <w:overflowPunct/>
        <w:topLinePunct w:val="0"/>
        <w:bidi w:val="0"/>
        <w:spacing w:line="560" w:lineRule="exact"/>
        <w:jc w:val="center"/>
        <w:textAlignment w:val="auto"/>
        <w:rPr>
          <w:rFonts w:hint="eastAsia" w:ascii="黑体" w:hAnsi="黑体" w:eastAsia="黑体"/>
          <w:color w:val="000000"/>
          <w:sz w:val="44"/>
          <w:szCs w:val="44"/>
        </w:rPr>
      </w:pPr>
    </w:p>
    <w:p w14:paraId="25D29C18">
      <w:pPr>
        <w:pageBreakBefore w:val="0"/>
        <w:widowControl/>
        <w:kinsoku/>
        <w:wordWrap/>
        <w:overflowPunct/>
        <w:topLinePunct w:val="0"/>
        <w:bidi w:val="0"/>
        <w:spacing w:line="560" w:lineRule="exact"/>
        <w:jc w:val="center"/>
        <w:textAlignment w:val="auto"/>
        <w:rPr>
          <w:rFonts w:ascii="黑体" w:hAnsi="黑体" w:eastAsia="黑体"/>
          <w:color w:val="000000"/>
          <w:sz w:val="48"/>
          <w:szCs w:val="48"/>
        </w:rPr>
      </w:pPr>
      <w:r>
        <w:rPr>
          <w:rFonts w:hint="eastAsia" w:ascii="黑体" w:hAnsi="黑体" w:eastAsia="黑体"/>
          <w:color w:val="000000"/>
          <w:sz w:val="44"/>
          <w:szCs w:val="44"/>
        </w:rPr>
        <w:t>目</w:t>
      </w:r>
      <w:r>
        <w:rPr>
          <w:rFonts w:hint="eastAsia" w:ascii="黑体" w:hAnsi="黑体" w:eastAsia="黑体"/>
          <w:color w:val="000000"/>
          <w:sz w:val="44"/>
          <w:szCs w:val="44"/>
          <w:lang w:val="en-US" w:eastAsia="zh-CN"/>
        </w:rPr>
        <w:t xml:space="preserve"> </w:t>
      </w:r>
      <w:r>
        <w:rPr>
          <w:rFonts w:hint="eastAsia" w:ascii="黑体" w:hAnsi="黑体" w:eastAsia="黑体"/>
          <w:color w:val="000000"/>
          <w:sz w:val="44"/>
          <w:szCs w:val="44"/>
        </w:rPr>
        <w:t>录</w:t>
      </w:r>
    </w:p>
    <w:p w14:paraId="57429687">
      <w:pPr>
        <w:pStyle w:val="10"/>
        <w:pageBreakBefore w:val="0"/>
        <w:kinsoku/>
        <w:wordWrap/>
        <w:overflowPunct/>
        <w:topLinePunct w:val="0"/>
        <w:bidi w:val="0"/>
        <w:spacing w:line="560" w:lineRule="exact"/>
        <w:jc w:val="center"/>
        <w:textAlignment w:val="auto"/>
        <w:rPr>
          <w:rFonts w:hint="eastAsia" w:ascii="仿宋_GB2312" w:eastAsia="仿宋_GB2312"/>
          <w:i w:val="0"/>
          <w:color w:val="auto"/>
          <w:sz w:val="32"/>
          <w:lang w:eastAsia="zh-CN"/>
        </w:rPr>
      </w:pPr>
      <w:r>
        <w:rPr>
          <w:rFonts w:hint="eastAsia" w:ascii="仿宋_GB2312" w:eastAsia="仿宋_GB2312"/>
          <w:i w:val="0"/>
          <w:color w:val="auto"/>
          <w:sz w:val="32"/>
        </w:rPr>
        <w:t>公开时间：202</w:t>
      </w:r>
      <w:r>
        <w:rPr>
          <w:rFonts w:hint="eastAsia" w:ascii="仿宋_GB2312" w:eastAsia="仿宋_GB2312"/>
          <w:i w:val="0"/>
          <w:color w:val="auto"/>
          <w:sz w:val="32"/>
          <w:lang w:val="en-US" w:eastAsia="zh-CN"/>
        </w:rPr>
        <w:t>4</w:t>
      </w:r>
      <w:r>
        <w:rPr>
          <w:rFonts w:hint="eastAsia" w:ascii="仿宋_GB2312" w:eastAsia="仿宋_GB2312"/>
          <w:i w:val="0"/>
          <w:color w:val="auto"/>
          <w:sz w:val="32"/>
        </w:rPr>
        <w:t>年9月</w:t>
      </w:r>
      <w:r>
        <w:rPr>
          <w:rFonts w:hint="eastAsia" w:ascii="仿宋_GB2312" w:eastAsia="仿宋_GB2312"/>
          <w:i w:val="0"/>
          <w:color w:val="auto"/>
          <w:sz w:val="32"/>
          <w:lang w:val="en-US" w:eastAsia="zh-CN"/>
        </w:rPr>
        <w:t>30</w:t>
      </w:r>
      <w:r>
        <w:rPr>
          <w:rFonts w:hint="eastAsia" w:ascii="仿宋_GB2312" w:eastAsia="仿宋_GB2312"/>
          <w:i w:val="0"/>
          <w:color w:val="auto"/>
          <w:sz w:val="32"/>
        </w:rPr>
        <w:t>日</w:t>
      </w:r>
    </w:p>
    <w:p w14:paraId="58CA804C">
      <w:pPr>
        <w:pStyle w:val="10"/>
        <w:pageBreakBefore w:val="0"/>
        <w:tabs>
          <w:tab w:val="right" w:leader="dot" w:pos="8306"/>
        </w:tabs>
        <w:kinsoku/>
        <w:wordWrap/>
        <w:overflowPunct/>
        <w:topLinePunct w:val="0"/>
        <w:bidi w:val="0"/>
        <w:spacing w:line="560" w:lineRule="exact"/>
        <w:textAlignment w:val="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TOC \o "1-2" \h \z \u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_Toc8227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第一部分 部门概况</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_Toc8227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599C6714">
      <w:pPr>
        <w:pStyle w:val="11"/>
        <w:pageBreakBefore w:val="0"/>
        <w:tabs>
          <w:tab w:val="right" w:leader="dot" w:pos="8306"/>
        </w:tabs>
        <w:kinsoku/>
        <w:wordWrap/>
        <w:overflowPunct/>
        <w:topLinePunct w:val="0"/>
        <w:bidi w:val="0"/>
        <w:spacing w:line="560" w:lineRule="exact"/>
        <w:textAlignment w:val="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_Toc28837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一、</w:t>
      </w:r>
      <w:r>
        <w:rPr>
          <w:rFonts w:hint="eastAsia" w:ascii="仿宋_GB2312" w:hAnsi="仿宋_GB2312" w:eastAsia="仿宋_GB2312" w:cs="仿宋_GB2312"/>
          <w:b w:val="0"/>
          <w:bCs w:val="0"/>
          <w:i w:val="0"/>
          <w:iCs w:val="0"/>
          <w:sz w:val="32"/>
          <w:szCs w:val="32"/>
          <w:highlight w:val="none"/>
          <w:lang w:eastAsia="zh-CN"/>
        </w:rPr>
        <w:t>部门职责</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_Toc28837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49C6B881">
      <w:pPr>
        <w:pStyle w:val="11"/>
        <w:pageBreakBefore w:val="0"/>
        <w:tabs>
          <w:tab w:val="right" w:leader="dot" w:pos="8306"/>
        </w:tabs>
        <w:kinsoku/>
        <w:wordWrap/>
        <w:overflowPunct/>
        <w:topLinePunct w:val="0"/>
        <w:bidi w:val="0"/>
        <w:spacing w:line="560" w:lineRule="exact"/>
        <w:textAlignment w:val="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_Toc17184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二、机构设置</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lang w:val="en-US" w:eastAsia="zh-CN"/>
        </w:rPr>
        <w:t>4</w:t>
      </w:r>
      <w:r>
        <w:rPr>
          <w:rFonts w:hint="eastAsia" w:ascii="仿宋_GB2312" w:hAnsi="仿宋_GB2312" w:eastAsia="仿宋_GB2312" w:cs="仿宋_GB2312"/>
          <w:b w:val="0"/>
          <w:bCs w:val="0"/>
          <w:i w:val="0"/>
          <w:iCs w:val="0"/>
          <w:caps/>
          <w:sz w:val="32"/>
          <w:szCs w:val="32"/>
        </w:rPr>
        <w:fldChar w:fldCharType="end"/>
      </w:r>
    </w:p>
    <w:p w14:paraId="1A642F6F">
      <w:pPr>
        <w:pStyle w:val="10"/>
        <w:pageBreakBefore w:val="0"/>
        <w:tabs>
          <w:tab w:val="right" w:leader="dot" w:pos="8306"/>
        </w:tabs>
        <w:kinsoku/>
        <w:wordWrap/>
        <w:overflowPunct/>
        <w:topLinePunct w:val="0"/>
        <w:bidi w:val="0"/>
        <w:spacing w:line="560" w:lineRule="exact"/>
        <w:textAlignment w:val="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_Toc1303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 xml:space="preserve">第二部分 </w:t>
      </w:r>
      <w:r>
        <w:rPr>
          <w:rFonts w:hint="eastAsia" w:ascii="仿宋_GB2312" w:hAnsi="仿宋_GB2312" w:eastAsia="仿宋_GB2312" w:cs="仿宋_GB2312"/>
          <w:b w:val="0"/>
          <w:bCs w:val="0"/>
          <w:i w:val="0"/>
          <w:iCs w:val="0"/>
          <w:sz w:val="32"/>
          <w:szCs w:val="32"/>
          <w:lang w:eastAsia="zh-CN"/>
        </w:rPr>
        <w:t>2023年</w:t>
      </w:r>
      <w:r>
        <w:rPr>
          <w:rFonts w:hint="eastAsia" w:ascii="仿宋_GB2312" w:hAnsi="仿宋_GB2312" w:eastAsia="仿宋_GB2312" w:cs="仿宋_GB2312"/>
          <w:b w:val="0"/>
          <w:bCs w:val="0"/>
          <w:i w:val="0"/>
          <w:iCs w:val="0"/>
          <w:sz w:val="32"/>
          <w:szCs w:val="32"/>
        </w:rPr>
        <w:t>度部门决算情况说明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lang w:val="en-US" w:eastAsia="zh-CN"/>
        </w:rPr>
        <w:t>5</w:t>
      </w:r>
      <w:r>
        <w:rPr>
          <w:rFonts w:hint="eastAsia" w:ascii="仿宋_GB2312" w:hAnsi="仿宋_GB2312" w:eastAsia="仿宋_GB2312" w:cs="仿宋_GB2312"/>
          <w:b w:val="0"/>
          <w:bCs w:val="0"/>
          <w:i w:val="0"/>
          <w:iCs w:val="0"/>
          <w:caps/>
          <w:sz w:val="32"/>
          <w:szCs w:val="32"/>
        </w:rPr>
        <w:fldChar w:fldCharType="end"/>
      </w:r>
    </w:p>
    <w:p w14:paraId="1FF7FE53">
      <w:pPr>
        <w:pStyle w:val="11"/>
        <w:pageBreakBefore w:val="0"/>
        <w:tabs>
          <w:tab w:val="right" w:leader="dot" w:pos="8306"/>
        </w:tabs>
        <w:kinsoku/>
        <w:wordWrap/>
        <w:overflowPunct/>
        <w:topLinePunct w:val="0"/>
        <w:bidi w:val="0"/>
        <w:spacing w:line="560" w:lineRule="exact"/>
        <w:textAlignment w:val="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_Toc17065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一、 收入支出决算总体情况说明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lang w:val="en-US" w:eastAsia="zh-CN"/>
        </w:rPr>
        <w:t>5</w:t>
      </w:r>
      <w:r>
        <w:rPr>
          <w:rFonts w:hint="eastAsia" w:ascii="仿宋_GB2312" w:hAnsi="仿宋_GB2312" w:eastAsia="仿宋_GB2312" w:cs="仿宋_GB2312"/>
          <w:b w:val="0"/>
          <w:bCs w:val="0"/>
          <w:i w:val="0"/>
          <w:iCs w:val="0"/>
          <w:caps/>
          <w:sz w:val="32"/>
          <w:szCs w:val="32"/>
        </w:rPr>
        <w:fldChar w:fldCharType="end"/>
      </w:r>
    </w:p>
    <w:p w14:paraId="09DF583B">
      <w:pPr>
        <w:pStyle w:val="11"/>
        <w:pageBreakBefore w:val="0"/>
        <w:tabs>
          <w:tab w:val="right" w:leader="dot" w:pos="8306"/>
        </w:tabs>
        <w:kinsoku/>
        <w:wordWrap/>
        <w:overflowPunct/>
        <w:topLinePunct w:val="0"/>
        <w:bidi w:val="0"/>
        <w:spacing w:line="560" w:lineRule="exact"/>
        <w:textAlignment w:val="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_Toc12413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二、 收入决算情况说明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lang w:val="en-US" w:eastAsia="zh-CN"/>
        </w:rPr>
        <w:t>5</w:t>
      </w:r>
      <w:r>
        <w:rPr>
          <w:rFonts w:hint="eastAsia" w:ascii="仿宋_GB2312" w:hAnsi="仿宋_GB2312" w:eastAsia="仿宋_GB2312" w:cs="仿宋_GB2312"/>
          <w:b w:val="0"/>
          <w:bCs w:val="0"/>
          <w:i w:val="0"/>
          <w:iCs w:val="0"/>
          <w:caps/>
          <w:sz w:val="32"/>
          <w:szCs w:val="32"/>
        </w:rPr>
        <w:fldChar w:fldCharType="end"/>
      </w:r>
    </w:p>
    <w:p w14:paraId="5F493887">
      <w:pPr>
        <w:pStyle w:val="11"/>
        <w:pageBreakBefore w:val="0"/>
        <w:tabs>
          <w:tab w:val="right" w:leader="dot" w:pos="8306"/>
        </w:tabs>
        <w:kinsoku/>
        <w:wordWrap/>
        <w:overflowPunct/>
        <w:topLinePunct w:val="0"/>
        <w:bidi w:val="0"/>
        <w:spacing w:line="560" w:lineRule="exact"/>
        <w:textAlignment w:val="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_Toc8342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三、 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lang w:val="en-US" w:eastAsia="zh-CN"/>
        </w:rPr>
        <w:t>6</w:t>
      </w:r>
      <w:r>
        <w:rPr>
          <w:rFonts w:hint="eastAsia" w:ascii="仿宋_GB2312" w:hAnsi="仿宋_GB2312" w:eastAsia="仿宋_GB2312" w:cs="仿宋_GB2312"/>
          <w:b w:val="0"/>
          <w:bCs w:val="0"/>
          <w:i w:val="0"/>
          <w:iCs w:val="0"/>
          <w:caps/>
          <w:sz w:val="32"/>
          <w:szCs w:val="32"/>
        </w:rPr>
        <w:fldChar w:fldCharType="end"/>
      </w:r>
    </w:p>
    <w:p w14:paraId="3C686D7D">
      <w:pPr>
        <w:pStyle w:val="11"/>
        <w:pageBreakBefore w:val="0"/>
        <w:tabs>
          <w:tab w:val="right" w:leader="dot" w:pos="8306"/>
        </w:tabs>
        <w:kinsoku/>
        <w:wordWrap/>
        <w:overflowPunct/>
        <w:topLinePunct w:val="0"/>
        <w:bidi w:val="0"/>
        <w:spacing w:line="560" w:lineRule="exact"/>
        <w:textAlignment w:val="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_Toc23551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四、财政拨款收入支出决算总体情况说明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lang w:val="en-US" w:eastAsia="zh-CN"/>
        </w:rPr>
        <w:t>6</w:t>
      </w:r>
      <w:r>
        <w:rPr>
          <w:rFonts w:hint="eastAsia" w:ascii="仿宋_GB2312" w:hAnsi="仿宋_GB2312" w:eastAsia="仿宋_GB2312" w:cs="仿宋_GB2312"/>
          <w:b w:val="0"/>
          <w:bCs w:val="0"/>
          <w:i w:val="0"/>
          <w:iCs w:val="0"/>
          <w:caps/>
          <w:sz w:val="32"/>
          <w:szCs w:val="32"/>
        </w:rPr>
        <w:fldChar w:fldCharType="end"/>
      </w:r>
    </w:p>
    <w:p w14:paraId="6B0A8AAB">
      <w:pPr>
        <w:pStyle w:val="11"/>
        <w:pageBreakBefore w:val="0"/>
        <w:tabs>
          <w:tab w:val="right" w:leader="dot" w:pos="8306"/>
        </w:tabs>
        <w:kinsoku/>
        <w:wordWrap/>
        <w:overflowPunct/>
        <w:topLinePunct w:val="0"/>
        <w:bidi w:val="0"/>
        <w:spacing w:line="560" w:lineRule="exact"/>
        <w:textAlignment w:val="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_Toc7507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五、一般公共预算财政拨款支出决算情况说明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lang w:val="en-US" w:eastAsia="zh-CN"/>
        </w:rPr>
        <w:t>7</w:t>
      </w:r>
      <w:r>
        <w:rPr>
          <w:rFonts w:hint="eastAsia" w:ascii="仿宋_GB2312" w:hAnsi="仿宋_GB2312" w:eastAsia="仿宋_GB2312" w:cs="仿宋_GB2312"/>
          <w:b w:val="0"/>
          <w:bCs w:val="0"/>
          <w:i w:val="0"/>
          <w:iCs w:val="0"/>
          <w:caps/>
          <w:sz w:val="32"/>
          <w:szCs w:val="32"/>
        </w:rPr>
        <w:fldChar w:fldCharType="end"/>
      </w:r>
    </w:p>
    <w:p w14:paraId="575F051A">
      <w:pPr>
        <w:pStyle w:val="11"/>
        <w:pageBreakBefore w:val="0"/>
        <w:tabs>
          <w:tab w:val="right" w:leader="dot" w:pos="8306"/>
        </w:tabs>
        <w:kinsoku/>
        <w:wordWrap/>
        <w:overflowPunct/>
        <w:topLinePunct w:val="0"/>
        <w:bidi w:val="0"/>
        <w:spacing w:line="560" w:lineRule="exact"/>
        <w:textAlignment w:val="auto"/>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_Toc31388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六、一般公共预算财政拨款基本支出决算情况说明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lang w:val="en-US" w:eastAsia="zh-CN"/>
        </w:rPr>
        <w:t>9</w:t>
      </w:r>
      <w:r>
        <w:rPr>
          <w:rFonts w:hint="eastAsia" w:ascii="仿宋_GB2312" w:hAnsi="仿宋_GB2312" w:eastAsia="仿宋_GB2312" w:cs="仿宋_GB2312"/>
          <w:b w:val="0"/>
          <w:bCs w:val="0"/>
          <w:i w:val="0"/>
          <w:iCs w:val="0"/>
          <w:caps/>
          <w:sz w:val="32"/>
          <w:szCs w:val="32"/>
        </w:rPr>
        <w:fldChar w:fldCharType="end"/>
      </w:r>
    </w:p>
    <w:p w14:paraId="3E929D8C">
      <w:pPr>
        <w:pStyle w:val="11"/>
        <w:pageBreakBefore w:val="0"/>
        <w:tabs>
          <w:tab w:val="right" w:leader="dot" w:pos="8306"/>
        </w:tabs>
        <w:kinsoku/>
        <w:wordWrap/>
        <w:overflowPunct/>
        <w:topLinePunct w:val="0"/>
        <w:bidi w:val="0"/>
        <w:spacing w:line="560" w:lineRule="exact"/>
        <w:textAlignment w:val="auto"/>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_Toc19233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七、“三公”经费财政拨款支出决算情况说明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lang w:val="en-US" w:eastAsia="zh-CN"/>
        </w:rPr>
        <w:t>1</w:t>
      </w:r>
      <w:r>
        <w:rPr>
          <w:rFonts w:hint="eastAsia" w:ascii="仿宋_GB2312" w:hAnsi="仿宋_GB2312" w:eastAsia="仿宋_GB2312" w:cs="仿宋_GB2312"/>
          <w:b w:val="0"/>
          <w:bCs w:val="0"/>
          <w:i w:val="0"/>
          <w:iCs w:val="0"/>
          <w:caps/>
          <w:sz w:val="32"/>
          <w:szCs w:val="32"/>
        </w:rPr>
        <w:fldChar w:fldCharType="end"/>
      </w:r>
      <w:r>
        <w:rPr>
          <w:rFonts w:hint="eastAsia" w:ascii="仿宋_GB2312" w:hAnsi="仿宋_GB2312" w:eastAsia="仿宋_GB2312" w:cs="仿宋_GB2312"/>
          <w:b w:val="0"/>
          <w:bCs w:val="0"/>
          <w:i w:val="0"/>
          <w:iCs w:val="0"/>
          <w:caps/>
          <w:sz w:val="32"/>
          <w:szCs w:val="32"/>
          <w:lang w:val="en-US" w:eastAsia="zh-CN"/>
        </w:rPr>
        <w:t>0</w:t>
      </w:r>
    </w:p>
    <w:p w14:paraId="3F220A18">
      <w:pPr>
        <w:pStyle w:val="11"/>
        <w:pageBreakBefore w:val="0"/>
        <w:tabs>
          <w:tab w:val="right" w:leader="dot" w:pos="8306"/>
        </w:tabs>
        <w:kinsoku/>
        <w:wordWrap/>
        <w:overflowPunct/>
        <w:topLinePunct w:val="0"/>
        <w:bidi w:val="0"/>
        <w:spacing w:line="560" w:lineRule="exact"/>
        <w:textAlignment w:val="auto"/>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_Toc31714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八、政府性基金预算支出决算情况说明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lang w:val="en-US" w:eastAsia="zh-CN"/>
        </w:rPr>
        <w:t>1</w:t>
      </w:r>
      <w:r>
        <w:rPr>
          <w:rFonts w:hint="eastAsia" w:ascii="仿宋_GB2312" w:hAnsi="仿宋_GB2312" w:eastAsia="仿宋_GB2312" w:cs="仿宋_GB2312"/>
          <w:b w:val="0"/>
          <w:bCs w:val="0"/>
          <w:i w:val="0"/>
          <w:iCs w:val="0"/>
          <w:caps/>
          <w:sz w:val="32"/>
          <w:szCs w:val="32"/>
        </w:rPr>
        <w:fldChar w:fldCharType="end"/>
      </w:r>
      <w:r>
        <w:rPr>
          <w:rFonts w:hint="eastAsia" w:ascii="仿宋_GB2312" w:hAnsi="仿宋_GB2312" w:eastAsia="仿宋_GB2312" w:cs="仿宋_GB2312"/>
          <w:b w:val="0"/>
          <w:bCs w:val="0"/>
          <w:i w:val="0"/>
          <w:iCs w:val="0"/>
          <w:caps/>
          <w:sz w:val="32"/>
          <w:szCs w:val="32"/>
          <w:lang w:val="en-US" w:eastAsia="zh-CN"/>
        </w:rPr>
        <w:t>2</w:t>
      </w:r>
    </w:p>
    <w:p w14:paraId="6604A2ED">
      <w:pPr>
        <w:pStyle w:val="11"/>
        <w:pageBreakBefore w:val="0"/>
        <w:tabs>
          <w:tab w:val="right" w:leader="dot" w:pos="8306"/>
        </w:tabs>
        <w:kinsoku/>
        <w:wordWrap/>
        <w:overflowPunct/>
        <w:topLinePunct w:val="0"/>
        <w:bidi w:val="0"/>
        <w:spacing w:line="560" w:lineRule="exact"/>
        <w:textAlignment w:val="auto"/>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_Toc12385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九、 国有资本经营预算支出决算情况说明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lang w:val="en-US" w:eastAsia="zh-CN"/>
        </w:rPr>
        <w:t>1</w:t>
      </w:r>
      <w:r>
        <w:rPr>
          <w:rFonts w:hint="eastAsia" w:ascii="仿宋_GB2312" w:hAnsi="仿宋_GB2312" w:eastAsia="仿宋_GB2312" w:cs="仿宋_GB2312"/>
          <w:b w:val="0"/>
          <w:bCs w:val="0"/>
          <w:i w:val="0"/>
          <w:iCs w:val="0"/>
          <w:caps/>
          <w:sz w:val="32"/>
          <w:szCs w:val="32"/>
        </w:rPr>
        <w:fldChar w:fldCharType="end"/>
      </w:r>
      <w:r>
        <w:rPr>
          <w:rFonts w:hint="eastAsia" w:ascii="仿宋_GB2312" w:hAnsi="仿宋_GB2312" w:eastAsia="仿宋_GB2312" w:cs="仿宋_GB2312"/>
          <w:b w:val="0"/>
          <w:bCs w:val="0"/>
          <w:i w:val="0"/>
          <w:iCs w:val="0"/>
          <w:caps/>
          <w:sz w:val="32"/>
          <w:szCs w:val="32"/>
          <w:lang w:val="en-US" w:eastAsia="zh-CN"/>
        </w:rPr>
        <w:t>2</w:t>
      </w:r>
    </w:p>
    <w:p w14:paraId="1F35F3B4">
      <w:pPr>
        <w:pStyle w:val="11"/>
        <w:pageBreakBefore w:val="0"/>
        <w:tabs>
          <w:tab w:val="right" w:leader="dot" w:pos="8306"/>
        </w:tabs>
        <w:kinsoku/>
        <w:wordWrap/>
        <w:overflowPunct/>
        <w:topLinePunct w:val="0"/>
        <w:bidi w:val="0"/>
        <w:spacing w:line="560" w:lineRule="exact"/>
        <w:textAlignment w:val="auto"/>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_Toc30095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十、其他重要事项的情况说明</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lang w:val="en-US" w:eastAsia="zh-CN"/>
        </w:rPr>
        <w:t>1</w:t>
      </w:r>
      <w:r>
        <w:rPr>
          <w:rFonts w:hint="eastAsia" w:ascii="仿宋_GB2312" w:hAnsi="仿宋_GB2312" w:eastAsia="仿宋_GB2312" w:cs="仿宋_GB2312"/>
          <w:b w:val="0"/>
          <w:bCs w:val="0"/>
          <w:i w:val="0"/>
          <w:iCs w:val="0"/>
          <w:caps/>
          <w:sz w:val="32"/>
          <w:szCs w:val="32"/>
        </w:rPr>
        <w:fldChar w:fldCharType="end"/>
      </w:r>
      <w:r>
        <w:rPr>
          <w:rFonts w:hint="eastAsia" w:ascii="仿宋_GB2312" w:hAnsi="仿宋_GB2312" w:eastAsia="仿宋_GB2312" w:cs="仿宋_GB2312"/>
          <w:b w:val="0"/>
          <w:bCs w:val="0"/>
          <w:i w:val="0"/>
          <w:iCs w:val="0"/>
          <w:caps/>
          <w:sz w:val="32"/>
          <w:szCs w:val="32"/>
          <w:lang w:val="en-US" w:eastAsia="zh-CN"/>
        </w:rPr>
        <w:t>2</w:t>
      </w:r>
    </w:p>
    <w:p w14:paraId="46FAA3F6">
      <w:pPr>
        <w:pStyle w:val="10"/>
        <w:pageBreakBefore w:val="0"/>
        <w:tabs>
          <w:tab w:val="right" w:leader="dot" w:pos="8306"/>
        </w:tabs>
        <w:kinsoku/>
        <w:wordWrap/>
        <w:overflowPunct/>
        <w:topLinePunct w:val="0"/>
        <w:bidi w:val="0"/>
        <w:spacing w:line="560" w:lineRule="exact"/>
        <w:textAlignment w:val="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_Toc6447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第三部分 名词解释</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_Toc6447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w:t>
      </w:r>
      <w:r>
        <w:rPr>
          <w:rFonts w:hint="eastAsia" w:ascii="仿宋_GB2312" w:hAnsi="仿宋_GB2312" w:eastAsia="仿宋_GB2312" w:cs="仿宋_GB2312"/>
          <w:b w:val="0"/>
          <w:bCs w:val="0"/>
          <w:i w:val="0"/>
          <w:iCs w:val="0"/>
          <w:sz w:val="32"/>
          <w:szCs w:val="32"/>
          <w:lang w:val="en-US" w:eastAsia="zh-CN"/>
        </w:rPr>
        <w:t>5</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78EEEE8F">
      <w:pPr>
        <w:pStyle w:val="10"/>
        <w:pageBreakBefore w:val="0"/>
        <w:tabs>
          <w:tab w:val="right" w:leader="dot" w:pos="8306"/>
        </w:tabs>
        <w:kinsoku/>
        <w:wordWrap/>
        <w:overflowPunct/>
        <w:topLinePunct w:val="0"/>
        <w:bidi w:val="0"/>
        <w:spacing w:line="560" w:lineRule="exact"/>
        <w:textAlignment w:val="auto"/>
        <w:rPr>
          <w:rFonts w:hint="eastAsia" w:ascii="仿宋_GB2312" w:hAnsi="仿宋_GB2312" w:eastAsia="仿宋_GB2312" w:cs="仿宋_GB2312"/>
          <w:b w:val="0"/>
          <w:bCs w:val="0"/>
          <w:i w:val="0"/>
          <w:iCs w:val="0"/>
          <w:sz w:val="32"/>
          <w:szCs w:val="32"/>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_Toc17220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第四部分 附件</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rPr>
        <w:fldChar w:fldCharType="begin"/>
      </w:r>
      <w:r>
        <w:rPr>
          <w:rFonts w:hint="eastAsia" w:ascii="仿宋_GB2312" w:hAnsi="仿宋_GB2312" w:eastAsia="仿宋_GB2312" w:cs="仿宋_GB2312"/>
          <w:b w:val="0"/>
          <w:bCs w:val="0"/>
          <w:i w:val="0"/>
          <w:iCs w:val="0"/>
          <w:sz w:val="32"/>
          <w:szCs w:val="32"/>
        </w:rPr>
        <w:instrText xml:space="preserve"> PAGEREF _Toc17220 \h </w:instrText>
      </w:r>
      <w:r>
        <w:rPr>
          <w:rFonts w:hint="eastAsia" w:ascii="仿宋_GB2312" w:hAnsi="仿宋_GB2312" w:eastAsia="仿宋_GB2312" w:cs="仿宋_GB2312"/>
          <w:b w:val="0"/>
          <w:bCs w:val="0"/>
          <w:i w:val="0"/>
          <w:iCs w:val="0"/>
          <w:sz w:val="32"/>
          <w:szCs w:val="32"/>
        </w:rPr>
        <w:fldChar w:fldCharType="separate"/>
      </w:r>
      <w:r>
        <w:rPr>
          <w:rFonts w:hint="eastAsia" w:ascii="仿宋_GB2312" w:hAnsi="仿宋_GB2312" w:eastAsia="仿宋_GB2312" w:cs="仿宋_GB2312"/>
          <w:b w:val="0"/>
          <w:bCs w:val="0"/>
          <w:i w:val="0"/>
          <w:iCs w:val="0"/>
          <w:sz w:val="32"/>
          <w:szCs w:val="32"/>
        </w:rPr>
        <w:t>1</w:t>
      </w:r>
      <w:r>
        <w:rPr>
          <w:rFonts w:hint="eastAsia" w:ascii="仿宋_GB2312" w:hAnsi="仿宋_GB2312" w:eastAsia="仿宋_GB2312" w:cs="仿宋_GB2312"/>
          <w:b w:val="0"/>
          <w:bCs w:val="0"/>
          <w:i w:val="0"/>
          <w:iCs w:val="0"/>
          <w:sz w:val="32"/>
          <w:szCs w:val="32"/>
          <w:lang w:val="en-US" w:eastAsia="zh-CN"/>
        </w:rPr>
        <w:t>7</w:t>
      </w:r>
      <w:r>
        <w:rPr>
          <w:rFonts w:hint="eastAsia" w:ascii="仿宋_GB2312" w:hAnsi="仿宋_GB2312" w:eastAsia="仿宋_GB2312" w:cs="仿宋_GB2312"/>
          <w:b w:val="0"/>
          <w:bCs w:val="0"/>
          <w:i w:val="0"/>
          <w:iCs w:val="0"/>
          <w:sz w:val="32"/>
          <w:szCs w:val="32"/>
        </w:rPr>
        <w:fldChar w:fldCharType="end"/>
      </w:r>
      <w:r>
        <w:rPr>
          <w:rFonts w:hint="eastAsia" w:ascii="仿宋_GB2312" w:hAnsi="仿宋_GB2312" w:eastAsia="仿宋_GB2312" w:cs="仿宋_GB2312"/>
          <w:b w:val="0"/>
          <w:bCs w:val="0"/>
          <w:i w:val="0"/>
          <w:iCs w:val="0"/>
          <w:caps/>
          <w:sz w:val="32"/>
          <w:szCs w:val="32"/>
        </w:rPr>
        <w:fldChar w:fldCharType="end"/>
      </w:r>
    </w:p>
    <w:p w14:paraId="5B7DC922">
      <w:pPr>
        <w:pStyle w:val="10"/>
        <w:pageBreakBefore w:val="0"/>
        <w:tabs>
          <w:tab w:val="right" w:leader="dot" w:pos="8306"/>
        </w:tabs>
        <w:kinsoku/>
        <w:wordWrap/>
        <w:overflowPunct/>
        <w:topLinePunct w:val="0"/>
        <w:bidi w:val="0"/>
        <w:spacing w:line="560" w:lineRule="exact"/>
        <w:textAlignment w:val="auto"/>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_Toc31444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rPr>
        <w:t>第五部分 附表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lang w:val="en-US" w:eastAsia="zh-CN"/>
        </w:rPr>
        <w:t>4</w:t>
      </w:r>
      <w:r>
        <w:rPr>
          <w:rFonts w:hint="eastAsia" w:ascii="仿宋_GB2312" w:hAnsi="仿宋_GB2312" w:eastAsia="仿宋_GB2312" w:cs="仿宋_GB2312"/>
          <w:b w:val="0"/>
          <w:bCs w:val="0"/>
          <w:i w:val="0"/>
          <w:iCs w:val="0"/>
          <w:caps/>
          <w:sz w:val="32"/>
          <w:szCs w:val="32"/>
        </w:rPr>
        <w:fldChar w:fldCharType="end"/>
      </w:r>
      <w:r>
        <w:rPr>
          <w:rFonts w:hint="eastAsia" w:ascii="仿宋_GB2312" w:hAnsi="仿宋_GB2312" w:eastAsia="仿宋_GB2312" w:cs="仿宋_GB2312"/>
          <w:b w:val="0"/>
          <w:bCs w:val="0"/>
          <w:i w:val="0"/>
          <w:iCs w:val="0"/>
          <w:caps/>
          <w:sz w:val="32"/>
          <w:szCs w:val="32"/>
          <w:lang w:val="en-US" w:eastAsia="zh-CN"/>
        </w:rPr>
        <w:t>0</w:t>
      </w:r>
    </w:p>
    <w:p w14:paraId="18498CCB">
      <w:pPr>
        <w:pStyle w:val="11"/>
        <w:pageBreakBefore w:val="0"/>
        <w:tabs>
          <w:tab w:val="right" w:leader="dot" w:pos="8306"/>
        </w:tabs>
        <w:kinsoku/>
        <w:wordWrap/>
        <w:overflowPunct/>
        <w:topLinePunct w:val="0"/>
        <w:bidi w:val="0"/>
        <w:spacing w:line="560" w:lineRule="exact"/>
        <w:textAlignment w:val="auto"/>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_Toc5286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一、收入支出决算总表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lang w:val="en-US" w:eastAsia="zh-CN"/>
        </w:rPr>
        <w:t>4</w:t>
      </w:r>
      <w:r>
        <w:rPr>
          <w:rFonts w:hint="eastAsia" w:ascii="仿宋_GB2312" w:hAnsi="仿宋_GB2312" w:eastAsia="仿宋_GB2312" w:cs="仿宋_GB2312"/>
          <w:b w:val="0"/>
          <w:bCs w:val="0"/>
          <w:i w:val="0"/>
          <w:iCs w:val="0"/>
          <w:caps/>
          <w:sz w:val="32"/>
          <w:szCs w:val="32"/>
        </w:rPr>
        <w:fldChar w:fldCharType="end"/>
      </w:r>
      <w:r>
        <w:rPr>
          <w:rFonts w:hint="eastAsia" w:ascii="仿宋_GB2312" w:hAnsi="仿宋_GB2312" w:eastAsia="仿宋_GB2312" w:cs="仿宋_GB2312"/>
          <w:b w:val="0"/>
          <w:bCs w:val="0"/>
          <w:i w:val="0"/>
          <w:iCs w:val="0"/>
          <w:caps/>
          <w:sz w:val="32"/>
          <w:szCs w:val="32"/>
          <w:lang w:val="en-US" w:eastAsia="zh-CN"/>
        </w:rPr>
        <w:t>0</w:t>
      </w:r>
    </w:p>
    <w:p w14:paraId="33D58A47">
      <w:pPr>
        <w:pStyle w:val="11"/>
        <w:pageBreakBefore w:val="0"/>
        <w:tabs>
          <w:tab w:val="right" w:leader="dot" w:pos="8306"/>
        </w:tabs>
        <w:kinsoku/>
        <w:wordWrap/>
        <w:overflowPunct/>
        <w:topLinePunct w:val="0"/>
        <w:bidi w:val="0"/>
        <w:spacing w:line="560" w:lineRule="exact"/>
        <w:textAlignment w:val="auto"/>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_Toc8158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二、收入决算表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lang w:val="en-US" w:eastAsia="zh-CN"/>
        </w:rPr>
        <w:t>4</w:t>
      </w:r>
      <w:r>
        <w:rPr>
          <w:rFonts w:hint="eastAsia" w:ascii="仿宋_GB2312" w:hAnsi="仿宋_GB2312" w:eastAsia="仿宋_GB2312" w:cs="仿宋_GB2312"/>
          <w:b w:val="0"/>
          <w:bCs w:val="0"/>
          <w:i w:val="0"/>
          <w:iCs w:val="0"/>
          <w:caps/>
          <w:sz w:val="32"/>
          <w:szCs w:val="32"/>
        </w:rPr>
        <w:fldChar w:fldCharType="end"/>
      </w:r>
      <w:r>
        <w:rPr>
          <w:rFonts w:hint="eastAsia" w:ascii="仿宋_GB2312" w:hAnsi="仿宋_GB2312" w:eastAsia="仿宋_GB2312" w:cs="仿宋_GB2312"/>
          <w:b w:val="0"/>
          <w:bCs w:val="0"/>
          <w:i w:val="0"/>
          <w:iCs w:val="0"/>
          <w:caps/>
          <w:sz w:val="32"/>
          <w:szCs w:val="32"/>
          <w:lang w:val="en-US" w:eastAsia="zh-CN"/>
        </w:rPr>
        <w:t>0</w:t>
      </w:r>
    </w:p>
    <w:p w14:paraId="46AFC628">
      <w:pPr>
        <w:pStyle w:val="11"/>
        <w:pageBreakBefore w:val="0"/>
        <w:tabs>
          <w:tab w:val="right" w:leader="dot" w:pos="8306"/>
        </w:tabs>
        <w:kinsoku/>
        <w:wordWrap/>
        <w:overflowPunct/>
        <w:topLinePunct w:val="0"/>
        <w:bidi w:val="0"/>
        <w:spacing w:line="560" w:lineRule="exact"/>
        <w:textAlignment w:val="auto"/>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_Toc26012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三、支出决算表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lang w:val="en-US" w:eastAsia="zh-CN"/>
        </w:rPr>
        <w:t>4</w:t>
      </w:r>
      <w:r>
        <w:rPr>
          <w:rFonts w:hint="eastAsia" w:ascii="仿宋_GB2312" w:hAnsi="仿宋_GB2312" w:eastAsia="仿宋_GB2312" w:cs="仿宋_GB2312"/>
          <w:b w:val="0"/>
          <w:bCs w:val="0"/>
          <w:i w:val="0"/>
          <w:iCs w:val="0"/>
          <w:caps/>
          <w:sz w:val="32"/>
          <w:szCs w:val="32"/>
        </w:rPr>
        <w:fldChar w:fldCharType="end"/>
      </w:r>
      <w:r>
        <w:rPr>
          <w:rFonts w:hint="eastAsia" w:ascii="仿宋_GB2312" w:hAnsi="仿宋_GB2312" w:eastAsia="仿宋_GB2312" w:cs="仿宋_GB2312"/>
          <w:b w:val="0"/>
          <w:bCs w:val="0"/>
          <w:i w:val="0"/>
          <w:iCs w:val="0"/>
          <w:caps/>
          <w:sz w:val="32"/>
          <w:szCs w:val="32"/>
          <w:lang w:val="en-US" w:eastAsia="zh-CN"/>
        </w:rPr>
        <w:t>0</w:t>
      </w:r>
    </w:p>
    <w:p w14:paraId="64C8F437">
      <w:pPr>
        <w:pStyle w:val="11"/>
        <w:pageBreakBefore w:val="0"/>
        <w:tabs>
          <w:tab w:val="right" w:leader="dot" w:pos="8306"/>
        </w:tabs>
        <w:kinsoku/>
        <w:wordWrap/>
        <w:overflowPunct/>
        <w:topLinePunct w:val="0"/>
        <w:bidi w:val="0"/>
        <w:spacing w:line="560" w:lineRule="exact"/>
        <w:textAlignment w:val="auto"/>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_Toc18909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四、财政拨款收入支出决算总表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lang w:val="en-US" w:eastAsia="zh-CN"/>
        </w:rPr>
        <w:t>4</w:t>
      </w:r>
      <w:r>
        <w:rPr>
          <w:rFonts w:hint="eastAsia" w:ascii="仿宋_GB2312" w:hAnsi="仿宋_GB2312" w:eastAsia="仿宋_GB2312" w:cs="仿宋_GB2312"/>
          <w:b w:val="0"/>
          <w:bCs w:val="0"/>
          <w:i w:val="0"/>
          <w:iCs w:val="0"/>
          <w:caps/>
          <w:sz w:val="32"/>
          <w:szCs w:val="32"/>
        </w:rPr>
        <w:fldChar w:fldCharType="end"/>
      </w:r>
      <w:r>
        <w:rPr>
          <w:rFonts w:hint="eastAsia" w:ascii="仿宋_GB2312" w:hAnsi="仿宋_GB2312" w:eastAsia="仿宋_GB2312" w:cs="仿宋_GB2312"/>
          <w:b w:val="0"/>
          <w:bCs w:val="0"/>
          <w:i w:val="0"/>
          <w:iCs w:val="0"/>
          <w:caps/>
          <w:sz w:val="32"/>
          <w:szCs w:val="32"/>
          <w:lang w:val="en-US" w:eastAsia="zh-CN"/>
        </w:rPr>
        <w:t>0</w:t>
      </w:r>
    </w:p>
    <w:p w14:paraId="67520203">
      <w:pPr>
        <w:pStyle w:val="11"/>
        <w:pageBreakBefore w:val="0"/>
        <w:tabs>
          <w:tab w:val="right" w:leader="dot" w:pos="8306"/>
        </w:tabs>
        <w:kinsoku/>
        <w:wordWrap/>
        <w:overflowPunct/>
        <w:topLinePunct w:val="0"/>
        <w:bidi w:val="0"/>
        <w:spacing w:line="560" w:lineRule="exact"/>
        <w:textAlignment w:val="auto"/>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_Toc31130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五、财政拨款支出决算明细表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lang w:val="en-US" w:eastAsia="zh-CN"/>
        </w:rPr>
        <w:t>4</w:t>
      </w:r>
      <w:r>
        <w:rPr>
          <w:rFonts w:hint="eastAsia" w:ascii="仿宋_GB2312" w:hAnsi="仿宋_GB2312" w:eastAsia="仿宋_GB2312" w:cs="仿宋_GB2312"/>
          <w:b w:val="0"/>
          <w:bCs w:val="0"/>
          <w:i w:val="0"/>
          <w:iCs w:val="0"/>
          <w:caps/>
          <w:sz w:val="32"/>
          <w:szCs w:val="32"/>
        </w:rPr>
        <w:fldChar w:fldCharType="end"/>
      </w:r>
      <w:r>
        <w:rPr>
          <w:rFonts w:hint="eastAsia" w:ascii="仿宋_GB2312" w:hAnsi="仿宋_GB2312" w:eastAsia="仿宋_GB2312" w:cs="仿宋_GB2312"/>
          <w:b w:val="0"/>
          <w:bCs w:val="0"/>
          <w:i w:val="0"/>
          <w:iCs w:val="0"/>
          <w:caps/>
          <w:sz w:val="32"/>
          <w:szCs w:val="32"/>
          <w:lang w:val="en-US" w:eastAsia="zh-CN"/>
        </w:rPr>
        <w:t>0</w:t>
      </w:r>
    </w:p>
    <w:p w14:paraId="34669121">
      <w:pPr>
        <w:pStyle w:val="11"/>
        <w:pageBreakBefore w:val="0"/>
        <w:tabs>
          <w:tab w:val="right" w:leader="dot" w:pos="8306"/>
        </w:tabs>
        <w:kinsoku/>
        <w:wordWrap/>
        <w:overflowPunct/>
        <w:topLinePunct w:val="0"/>
        <w:bidi w:val="0"/>
        <w:spacing w:line="560" w:lineRule="exact"/>
        <w:textAlignment w:val="auto"/>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_Toc7698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六、一般公共预算财政拨款支出决算表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lang w:val="en-US" w:eastAsia="zh-CN"/>
        </w:rPr>
        <w:t>4</w:t>
      </w:r>
      <w:r>
        <w:rPr>
          <w:rFonts w:hint="eastAsia" w:ascii="仿宋_GB2312" w:hAnsi="仿宋_GB2312" w:eastAsia="仿宋_GB2312" w:cs="仿宋_GB2312"/>
          <w:b w:val="0"/>
          <w:bCs w:val="0"/>
          <w:i w:val="0"/>
          <w:iCs w:val="0"/>
          <w:caps/>
          <w:sz w:val="32"/>
          <w:szCs w:val="32"/>
        </w:rPr>
        <w:fldChar w:fldCharType="end"/>
      </w:r>
      <w:r>
        <w:rPr>
          <w:rFonts w:hint="eastAsia" w:ascii="仿宋_GB2312" w:hAnsi="仿宋_GB2312" w:eastAsia="仿宋_GB2312" w:cs="仿宋_GB2312"/>
          <w:b w:val="0"/>
          <w:bCs w:val="0"/>
          <w:i w:val="0"/>
          <w:iCs w:val="0"/>
          <w:caps/>
          <w:sz w:val="32"/>
          <w:szCs w:val="32"/>
          <w:lang w:val="en-US" w:eastAsia="zh-CN"/>
        </w:rPr>
        <w:t>0</w:t>
      </w:r>
    </w:p>
    <w:p w14:paraId="1CB890E2">
      <w:pPr>
        <w:pStyle w:val="11"/>
        <w:pageBreakBefore w:val="0"/>
        <w:tabs>
          <w:tab w:val="right" w:leader="dot" w:pos="8306"/>
        </w:tabs>
        <w:kinsoku/>
        <w:wordWrap/>
        <w:overflowPunct/>
        <w:topLinePunct w:val="0"/>
        <w:bidi w:val="0"/>
        <w:spacing w:line="560" w:lineRule="exact"/>
        <w:textAlignment w:val="auto"/>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_Toc31249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七、一般公共预算财政拨款支出决算明细表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lang w:val="en-US" w:eastAsia="zh-CN"/>
        </w:rPr>
        <w:t>4</w:t>
      </w:r>
      <w:r>
        <w:rPr>
          <w:rFonts w:hint="eastAsia" w:ascii="仿宋_GB2312" w:hAnsi="仿宋_GB2312" w:eastAsia="仿宋_GB2312" w:cs="仿宋_GB2312"/>
          <w:b w:val="0"/>
          <w:bCs w:val="0"/>
          <w:i w:val="0"/>
          <w:iCs w:val="0"/>
          <w:caps/>
          <w:sz w:val="32"/>
          <w:szCs w:val="32"/>
        </w:rPr>
        <w:fldChar w:fldCharType="end"/>
      </w:r>
      <w:r>
        <w:rPr>
          <w:rFonts w:hint="eastAsia" w:ascii="仿宋_GB2312" w:hAnsi="仿宋_GB2312" w:eastAsia="仿宋_GB2312" w:cs="仿宋_GB2312"/>
          <w:b w:val="0"/>
          <w:bCs w:val="0"/>
          <w:i w:val="0"/>
          <w:iCs w:val="0"/>
          <w:caps/>
          <w:sz w:val="32"/>
          <w:szCs w:val="32"/>
          <w:lang w:val="en-US" w:eastAsia="zh-CN"/>
        </w:rPr>
        <w:t>0</w:t>
      </w:r>
    </w:p>
    <w:p w14:paraId="15B2C30D">
      <w:pPr>
        <w:pStyle w:val="11"/>
        <w:pageBreakBefore w:val="0"/>
        <w:tabs>
          <w:tab w:val="right" w:leader="dot" w:pos="8306"/>
        </w:tabs>
        <w:kinsoku/>
        <w:wordWrap/>
        <w:overflowPunct/>
        <w:topLinePunct w:val="0"/>
        <w:bidi w:val="0"/>
        <w:spacing w:line="560" w:lineRule="exact"/>
        <w:textAlignment w:val="auto"/>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_Toc7317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八、一般公共预算财政拨款基本支出决算表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lang w:val="en-US" w:eastAsia="zh-CN"/>
        </w:rPr>
        <w:t>4</w:t>
      </w:r>
      <w:r>
        <w:rPr>
          <w:rFonts w:hint="eastAsia" w:ascii="仿宋_GB2312" w:hAnsi="仿宋_GB2312" w:eastAsia="仿宋_GB2312" w:cs="仿宋_GB2312"/>
          <w:b w:val="0"/>
          <w:bCs w:val="0"/>
          <w:i w:val="0"/>
          <w:iCs w:val="0"/>
          <w:caps/>
          <w:sz w:val="32"/>
          <w:szCs w:val="32"/>
        </w:rPr>
        <w:fldChar w:fldCharType="end"/>
      </w:r>
      <w:r>
        <w:rPr>
          <w:rFonts w:hint="eastAsia" w:ascii="仿宋_GB2312" w:hAnsi="仿宋_GB2312" w:eastAsia="仿宋_GB2312" w:cs="仿宋_GB2312"/>
          <w:b w:val="0"/>
          <w:bCs w:val="0"/>
          <w:i w:val="0"/>
          <w:iCs w:val="0"/>
          <w:caps/>
          <w:sz w:val="32"/>
          <w:szCs w:val="32"/>
          <w:lang w:val="en-US" w:eastAsia="zh-CN"/>
        </w:rPr>
        <w:t>0</w:t>
      </w:r>
    </w:p>
    <w:p w14:paraId="5369D3B7">
      <w:pPr>
        <w:pStyle w:val="11"/>
        <w:pageBreakBefore w:val="0"/>
        <w:tabs>
          <w:tab w:val="right" w:leader="dot" w:pos="8306"/>
        </w:tabs>
        <w:kinsoku/>
        <w:wordWrap/>
        <w:overflowPunct/>
        <w:topLinePunct w:val="0"/>
        <w:bidi w:val="0"/>
        <w:spacing w:line="560" w:lineRule="exact"/>
        <w:textAlignment w:val="auto"/>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_Toc6515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九、一般公共预算财政拨款项目支出决算表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lang w:val="en-US" w:eastAsia="zh-CN"/>
        </w:rPr>
        <w:t>4</w:t>
      </w:r>
      <w:r>
        <w:rPr>
          <w:rFonts w:hint="eastAsia" w:ascii="仿宋_GB2312" w:hAnsi="仿宋_GB2312" w:eastAsia="仿宋_GB2312" w:cs="仿宋_GB2312"/>
          <w:b w:val="0"/>
          <w:bCs w:val="0"/>
          <w:i w:val="0"/>
          <w:iCs w:val="0"/>
          <w:caps/>
          <w:sz w:val="32"/>
          <w:szCs w:val="32"/>
        </w:rPr>
        <w:fldChar w:fldCharType="end"/>
      </w:r>
      <w:r>
        <w:rPr>
          <w:rFonts w:hint="eastAsia" w:ascii="仿宋_GB2312" w:hAnsi="仿宋_GB2312" w:eastAsia="仿宋_GB2312" w:cs="仿宋_GB2312"/>
          <w:b w:val="0"/>
          <w:bCs w:val="0"/>
          <w:i w:val="0"/>
          <w:iCs w:val="0"/>
          <w:caps/>
          <w:sz w:val="32"/>
          <w:szCs w:val="32"/>
          <w:lang w:val="en-US" w:eastAsia="zh-CN"/>
        </w:rPr>
        <w:t>0</w:t>
      </w:r>
    </w:p>
    <w:p w14:paraId="0E944A24">
      <w:pPr>
        <w:pStyle w:val="11"/>
        <w:pageBreakBefore w:val="0"/>
        <w:tabs>
          <w:tab w:val="right" w:leader="dot" w:pos="8306"/>
        </w:tabs>
        <w:kinsoku/>
        <w:wordWrap/>
        <w:overflowPunct/>
        <w:topLinePunct w:val="0"/>
        <w:bidi w:val="0"/>
        <w:spacing w:line="560" w:lineRule="exact"/>
        <w:textAlignment w:val="auto"/>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_Toc7620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十、政府性基金预算财政拨款收入支出决算表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lang w:val="en-US" w:eastAsia="zh-CN"/>
        </w:rPr>
        <w:t>4</w:t>
      </w:r>
      <w:r>
        <w:rPr>
          <w:rFonts w:hint="eastAsia" w:ascii="仿宋_GB2312" w:hAnsi="仿宋_GB2312" w:eastAsia="仿宋_GB2312" w:cs="仿宋_GB2312"/>
          <w:b w:val="0"/>
          <w:bCs w:val="0"/>
          <w:i w:val="0"/>
          <w:iCs w:val="0"/>
          <w:caps/>
          <w:sz w:val="32"/>
          <w:szCs w:val="32"/>
        </w:rPr>
        <w:fldChar w:fldCharType="end"/>
      </w:r>
      <w:r>
        <w:rPr>
          <w:rFonts w:hint="eastAsia" w:ascii="仿宋_GB2312" w:hAnsi="仿宋_GB2312" w:eastAsia="仿宋_GB2312" w:cs="仿宋_GB2312"/>
          <w:b w:val="0"/>
          <w:bCs w:val="0"/>
          <w:i w:val="0"/>
          <w:iCs w:val="0"/>
          <w:caps/>
          <w:sz w:val="32"/>
          <w:szCs w:val="32"/>
          <w:lang w:val="en-US" w:eastAsia="zh-CN"/>
        </w:rPr>
        <w:t>0</w:t>
      </w:r>
    </w:p>
    <w:p w14:paraId="64A37FF1">
      <w:pPr>
        <w:pStyle w:val="11"/>
        <w:pageBreakBefore w:val="0"/>
        <w:tabs>
          <w:tab w:val="right" w:leader="dot" w:pos="8306"/>
        </w:tabs>
        <w:kinsoku/>
        <w:wordWrap/>
        <w:overflowPunct/>
        <w:topLinePunct w:val="0"/>
        <w:bidi w:val="0"/>
        <w:spacing w:line="560" w:lineRule="exact"/>
        <w:textAlignment w:val="auto"/>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_Toc26497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十一、国有资本经营预算</w:t>
      </w:r>
      <w:r>
        <w:rPr>
          <w:rFonts w:hint="eastAsia" w:ascii="仿宋_GB2312" w:hAnsi="仿宋_GB2312" w:eastAsia="仿宋_GB2312" w:cs="仿宋_GB2312"/>
          <w:b w:val="0"/>
          <w:bCs w:val="0"/>
          <w:i w:val="0"/>
          <w:iCs w:val="0"/>
          <w:sz w:val="32"/>
          <w:szCs w:val="32"/>
          <w:highlight w:val="none"/>
          <w:lang w:eastAsia="zh-CN"/>
        </w:rPr>
        <w:t>财政拨款收入</w:t>
      </w:r>
      <w:r>
        <w:rPr>
          <w:rFonts w:hint="eastAsia" w:ascii="仿宋_GB2312" w:hAnsi="仿宋_GB2312" w:eastAsia="仿宋_GB2312" w:cs="仿宋_GB2312"/>
          <w:b w:val="0"/>
          <w:bCs w:val="0"/>
          <w:i w:val="0"/>
          <w:iCs w:val="0"/>
          <w:sz w:val="32"/>
          <w:szCs w:val="32"/>
          <w:highlight w:val="none"/>
        </w:rPr>
        <w:t>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lang w:val="en-US" w:eastAsia="zh-CN"/>
        </w:rPr>
        <w:t>4</w:t>
      </w:r>
      <w:r>
        <w:rPr>
          <w:rFonts w:hint="eastAsia" w:ascii="仿宋_GB2312" w:hAnsi="仿宋_GB2312" w:eastAsia="仿宋_GB2312" w:cs="仿宋_GB2312"/>
          <w:b w:val="0"/>
          <w:bCs w:val="0"/>
          <w:i w:val="0"/>
          <w:iCs w:val="0"/>
          <w:caps/>
          <w:sz w:val="32"/>
          <w:szCs w:val="32"/>
        </w:rPr>
        <w:fldChar w:fldCharType="end"/>
      </w:r>
      <w:r>
        <w:rPr>
          <w:rFonts w:hint="eastAsia" w:ascii="仿宋_GB2312" w:hAnsi="仿宋_GB2312" w:eastAsia="仿宋_GB2312" w:cs="仿宋_GB2312"/>
          <w:b w:val="0"/>
          <w:bCs w:val="0"/>
          <w:i w:val="0"/>
          <w:iCs w:val="0"/>
          <w:caps/>
          <w:sz w:val="32"/>
          <w:szCs w:val="32"/>
          <w:lang w:val="en-US" w:eastAsia="zh-CN"/>
        </w:rPr>
        <w:t>0</w:t>
      </w:r>
    </w:p>
    <w:p w14:paraId="1DFB4655">
      <w:pPr>
        <w:pStyle w:val="11"/>
        <w:pageBreakBefore w:val="0"/>
        <w:tabs>
          <w:tab w:val="right" w:leader="dot" w:pos="8306"/>
        </w:tabs>
        <w:kinsoku/>
        <w:wordWrap/>
        <w:overflowPunct/>
        <w:topLinePunct w:val="0"/>
        <w:bidi w:val="0"/>
        <w:spacing w:line="560" w:lineRule="exact"/>
        <w:textAlignment w:val="auto"/>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_Toc28654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十二、</w:t>
      </w:r>
      <w:r>
        <w:rPr>
          <w:rFonts w:hint="eastAsia" w:ascii="仿宋_GB2312" w:hAnsi="仿宋_GB2312" w:eastAsia="仿宋_GB2312" w:cs="仿宋_GB2312"/>
          <w:b w:val="0"/>
          <w:bCs w:val="0"/>
          <w:i w:val="0"/>
          <w:iCs w:val="0"/>
          <w:sz w:val="32"/>
          <w:szCs w:val="32"/>
          <w:highlight w:val="none"/>
          <w:lang w:eastAsia="zh-CN"/>
        </w:rPr>
        <w:t>国有资本经营预算财政拨款支出决算表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lang w:val="en-US" w:eastAsia="zh-CN"/>
        </w:rPr>
        <w:t>4</w:t>
      </w:r>
      <w:r>
        <w:rPr>
          <w:rFonts w:hint="eastAsia" w:ascii="仿宋_GB2312" w:hAnsi="仿宋_GB2312" w:eastAsia="仿宋_GB2312" w:cs="仿宋_GB2312"/>
          <w:b w:val="0"/>
          <w:bCs w:val="0"/>
          <w:i w:val="0"/>
          <w:iCs w:val="0"/>
          <w:caps/>
          <w:sz w:val="32"/>
          <w:szCs w:val="32"/>
        </w:rPr>
        <w:fldChar w:fldCharType="end"/>
      </w:r>
      <w:r>
        <w:rPr>
          <w:rFonts w:hint="eastAsia" w:ascii="仿宋_GB2312" w:hAnsi="仿宋_GB2312" w:eastAsia="仿宋_GB2312" w:cs="仿宋_GB2312"/>
          <w:b w:val="0"/>
          <w:bCs w:val="0"/>
          <w:i w:val="0"/>
          <w:iCs w:val="0"/>
          <w:caps/>
          <w:sz w:val="32"/>
          <w:szCs w:val="32"/>
          <w:lang w:val="en-US" w:eastAsia="zh-CN"/>
        </w:rPr>
        <w:t>0</w:t>
      </w:r>
    </w:p>
    <w:p w14:paraId="32AD5B66">
      <w:pPr>
        <w:pStyle w:val="11"/>
        <w:pageBreakBefore w:val="0"/>
        <w:tabs>
          <w:tab w:val="right" w:leader="dot" w:pos="8306"/>
        </w:tabs>
        <w:kinsoku/>
        <w:wordWrap/>
        <w:overflowPunct/>
        <w:topLinePunct w:val="0"/>
        <w:bidi w:val="0"/>
        <w:spacing w:line="560" w:lineRule="exact"/>
        <w:textAlignment w:val="auto"/>
        <w:rPr>
          <w:rFonts w:hint="eastAsia" w:ascii="仿宋_GB2312" w:hAnsi="仿宋_GB2312" w:eastAsia="仿宋_GB2312" w:cs="仿宋_GB2312"/>
          <w:b w:val="0"/>
          <w:bCs w:val="0"/>
          <w:i w:val="0"/>
          <w:iCs w:val="0"/>
          <w:sz w:val="32"/>
          <w:szCs w:val="32"/>
          <w:lang w:val="en-US" w:eastAsia="zh-CN"/>
        </w:rPr>
      </w:pPr>
      <w:r>
        <w:rPr>
          <w:rFonts w:hint="eastAsia" w:ascii="仿宋_GB2312" w:hAnsi="仿宋_GB2312" w:eastAsia="仿宋_GB2312" w:cs="仿宋_GB2312"/>
          <w:b w:val="0"/>
          <w:bCs w:val="0"/>
          <w:i w:val="0"/>
          <w:iCs w:val="0"/>
          <w:caps/>
          <w:sz w:val="32"/>
          <w:szCs w:val="32"/>
        </w:rPr>
        <w:fldChar w:fldCharType="begin"/>
      </w:r>
      <w:r>
        <w:rPr>
          <w:rFonts w:hint="eastAsia" w:ascii="仿宋_GB2312" w:hAnsi="仿宋_GB2312" w:eastAsia="仿宋_GB2312" w:cs="仿宋_GB2312"/>
          <w:b w:val="0"/>
          <w:bCs w:val="0"/>
          <w:i w:val="0"/>
          <w:iCs w:val="0"/>
          <w:caps/>
          <w:sz w:val="32"/>
          <w:szCs w:val="32"/>
        </w:rPr>
        <w:instrText xml:space="preserve"> HYPERLINK \l _Toc10409 </w:instrText>
      </w:r>
      <w:r>
        <w:rPr>
          <w:rFonts w:hint="eastAsia" w:ascii="仿宋_GB2312" w:hAnsi="仿宋_GB2312" w:eastAsia="仿宋_GB2312" w:cs="仿宋_GB2312"/>
          <w:b w:val="0"/>
          <w:bCs w:val="0"/>
          <w:i w:val="0"/>
          <w:iCs w:val="0"/>
          <w:caps/>
          <w:sz w:val="32"/>
          <w:szCs w:val="32"/>
        </w:rPr>
        <w:fldChar w:fldCharType="separate"/>
      </w:r>
      <w:r>
        <w:rPr>
          <w:rFonts w:hint="eastAsia" w:ascii="仿宋_GB2312" w:hAnsi="仿宋_GB2312" w:eastAsia="仿宋_GB2312" w:cs="仿宋_GB2312"/>
          <w:b w:val="0"/>
          <w:bCs w:val="0"/>
          <w:i w:val="0"/>
          <w:iCs w:val="0"/>
          <w:sz w:val="32"/>
          <w:szCs w:val="32"/>
          <w:highlight w:val="none"/>
        </w:rPr>
        <w:t>十三、</w:t>
      </w:r>
      <w:r>
        <w:rPr>
          <w:rFonts w:hint="eastAsia" w:ascii="仿宋_GB2312" w:hAnsi="仿宋_GB2312" w:eastAsia="仿宋_GB2312" w:cs="仿宋_GB2312"/>
          <w:b w:val="0"/>
          <w:bCs w:val="0"/>
          <w:i w:val="0"/>
          <w:iCs w:val="0"/>
          <w:sz w:val="32"/>
          <w:szCs w:val="32"/>
          <w:highlight w:val="none"/>
          <w:lang w:eastAsia="zh-CN"/>
        </w:rPr>
        <w:t>财政拨款“三公”经费支出决算表</w:t>
      </w:r>
      <w:r>
        <w:rPr>
          <w:rFonts w:hint="eastAsia" w:ascii="仿宋_GB2312" w:hAnsi="仿宋_GB2312" w:eastAsia="仿宋_GB2312" w:cs="仿宋_GB2312"/>
          <w:b w:val="0"/>
          <w:bCs w:val="0"/>
          <w:i w:val="0"/>
          <w:iCs w:val="0"/>
          <w:sz w:val="32"/>
          <w:szCs w:val="32"/>
        </w:rPr>
        <w:tab/>
      </w:r>
      <w:r>
        <w:rPr>
          <w:rFonts w:hint="eastAsia" w:ascii="仿宋_GB2312" w:hAnsi="仿宋_GB2312" w:eastAsia="仿宋_GB2312" w:cs="仿宋_GB2312"/>
          <w:b w:val="0"/>
          <w:bCs w:val="0"/>
          <w:i w:val="0"/>
          <w:iCs w:val="0"/>
          <w:sz w:val="32"/>
          <w:szCs w:val="32"/>
          <w:lang w:val="en-US" w:eastAsia="zh-CN"/>
        </w:rPr>
        <w:t>4</w:t>
      </w:r>
      <w:r>
        <w:rPr>
          <w:rFonts w:hint="eastAsia" w:ascii="仿宋_GB2312" w:hAnsi="仿宋_GB2312" w:eastAsia="仿宋_GB2312" w:cs="仿宋_GB2312"/>
          <w:b w:val="0"/>
          <w:bCs w:val="0"/>
          <w:i w:val="0"/>
          <w:iCs w:val="0"/>
          <w:caps/>
          <w:sz w:val="32"/>
          <w:szCs w:val="32"/>
        </w:rPr>
        <w:fldChar w:fldCharType="end"/>
      </w:r>
      <w:r>
        <w:rPr>
          <w:rFonts w:hint="eastAsia" w:ascii="仿宋_GB2312" w:hAnsi="仿宋_GB2312" w:eastAsia="仿宋_GB2312" w:cs="仿宋_GB2312"/>
          <w:b w:val="0"/>
          <w:bCs w:val="0"/>
          <w:i w:val="0"/>
          <w:iCs w:val="0"/>
          <w:caps/>
          <w:sz w:val="32"/>
          <w:szCs w:val="32"/>
          <w:lang w:val="en-US" w:eastAsia="zh-CN"/>
        </w:rPr>
        <w:t>0</w:t>
      </w:r>
    </w:p>
    <w:p w14:paraId="1B097D90">
      <w:pPr>
        <w:keepNext w:val="0"/>
        <w:keepLines w:val="0"/>
        <w:pageBreakBefore w:val="0"/>
        <w:widowControl w:val="0"/>
        <w:kinsoku/>
        <w:wordWrap/>
        <w:overflowPunct/>
        <w:topLinePunct w:val="0"/>
        <w:autoSpaceDE/>
        <w:autoSpaceDN/>
        <w:bidi w:val="0"/>
        <w:adjustRightInd/>
        <w:snapToGrid/>
        <w:spacing w:line="560" w:lineRule="exact"/>
        <w:ind w:firstLine="2400" w:firstLineChars="750"/>
        <w:textAlignment w:val="auto"/>
        <w:rPr>
          <w:rFonts w:hint="eastAsia" w:ascii="仿宋_GB2312" w:hAnsi="仿宋"/>
          <w:b/>
          <w:bCs/>
          <w:color w:val="FF0000"/>
          <w:szCs w:val="32"/>
        </w:rPr>
      </w:pPr>
      <w:r>
        <w:rPr>
          <w:rFonts w:hint="eastAsia" w:ascii="仿宋_GB2312" w:hAnsi="仿宋_GB2312" w:eastAsia="仿宋_GB2312" w:cs="仿宋_GB2312"/>
          <w:b w:val="0"/>
          <w:bCs w:val="0"/>
          <w:i w:val="0"/>
          <w:iCs w:val="0"/>
          <w:caps/>
          <w:sz w:val="32"/>
          <w:szCs w:val="32"/>
        </w:rPr>
        <w:fldChar w:fldCharType="end"/>
      </w:r>
    </w:p>
    <w:p w14:paraId="3E91DEAA">
      <w:pPr>
        <w:pStyle w:val="3"/>
        <w:pageBreakBefore w:val="0"/>
        <w:kinsoku/>
        <w:wordWrap/>
        <w:overflowPunct/>
        <w:topLinePunct w:val="0"/>
        <w:bidi w:val="0"/>
        <w:spacing w:line="560" w:lineRule="exact"/>
        <w:jc w:val="center"/>
        <w:textAlignment w:val="auto"/>
        <w:rPr>
          <w:rFonts w:hint="eastAsia" w:ascii="黑体" w:hAnsi="黑体" w:eastAsia="黑体"/>
          <w:b w:val="0"/>
        </w:rPr>
        <w:sectPr>
          <w:pgSz w:w="11906" w:h="16838"/>
          <w:pgMar w:top="1440" w:right="1800" w:bottom="1440" w:left="1800" w:header="851" w:footer="992" w:gutter="0"/>
          <w:pgNumType w:fmt="decimal"/>
          <w:cols w:space="425" w:num="1"/>
          <w:docGrid w:type="lines" w:linePitch="312" w:charSpace="0"/>
        </w:sectPr>
      </w:pPr>
    </w:p>
    <w:p w14:paraId="13D1B6D0">
      <w:pPr>
        <w:pStyle w:val="3"/>
        <w:pageBreakBefore w:val="0"/>
        <w:kinsoku/>
        <w:wordWrap/>
        <w:overflowPunct/>
        <w:topLinePunct w:val="0"/>
        <w:bidi w:val="0"/>
        <w:spacing w:line="560" w:lineRule="exact"/>
        <w:jc w:val="center"/>
        <w:textAlignment w:val="auto"/>
        <w:rPr>
          <w:rStyle w:val="18"/>
          <w:rFonts w:ascii="黑体" w:hAnsi="黑体" w:eastAsia="黑体"/>
          <w:b/>
          <w:bCs w:val="0"/>
        </w:rPr>
      </w:pPr>
      <w:bookmarkStart w:id="0" w:name="_Toc8227"/>
      <w:r>
        <w:rPr>
          <w:rFonts w:hint="eastAsia" w:ascii="黑体" w:hAnsi="黑体" w:eastAsia="黑体"/>
          <w:b w:val="0"/>
        </w:rPr>
        <w:t>第一部分</w:t>
      </w:r>
      <w:r>
        <w:rPr>
          <w:rFonts w:ascii="黑体" w:hAnsi="黑体" w:eastAsia="黑体"/>
          <w:b w:val="0"/>
        </w:rPr>
        <w:t xml:space="preserve"> </w:t>
      </w:r>
      <w:r>
        <w:rPr>
          <w:rStyle w:val="18"/>
          <w:rFonts w:hint="eastAsia" w:ascii="黑体" w:hAnsi="黑体" w:eastAsia="黑体"/>
          <w:b w:val="0"/>
          <w:bCs w:val="0"/>
        </w:rPr>
        <w:t>部门概况</w:t>
      </w:r>
      <w:bookmarkEnd w:id="0"/>
    </w:p>
    <w:p w14:paraId="5882CEE1">
      <w:pPr>
        <w:pStyle w:val="4"/>
        <w:pageBreakBefore w:val="0"/>
        <w:kinsoku/>
        <w:wordWrap/>
        <w:overflowPunct/>
        <w:topLinePunct w:val="0"/>
        <w:bidi w:val="0"/>
        <w:spacing w:line="560" w:lineRule="exact"/>
        <w:textAlignment w:val="auto"/>
        <w:rPr>
          <w:rStyle w:val="19"/>
          <w:rFonts w:ascii="仿宋" w:hAnsi="仿宋" w:eastAsia="仿宋"/>
          <w:b w:val="0"/>
          <w:bCs w:val="0"/>
        </w:rPr>
      </w:pPr>
      <w:bookmarkStart w:id="1" w:name="_Toc15377197"/>
      <w:bookmarkStart w:id="2" w:name="_Toc15396600"/>
      <w:bookmarkStart w:id="3" w:name="_Toc28837"/>
      <w:r>
        <w:rPr>
          <w:rFonts w:hint="eastAsia" w:ascii="黑体" w:hAnsi="黑体" w:eastAsia="黑体"/>
          <w:b w:val="0"/>
          <w:color w:val="000000"/>
        </w:rPr>
        <w:t>一、</w:t>
      </w:r>
      <w:bookmarkEnd w:id="1"/>
      <w:bookmarkEnd w:id="2"/>
      <w:r>
        <w:rPr>
          <w:rFonts w:hint="eastAsia" w:ascii="黑体" w:hAnsi="黑体" w:eastAsia="黑体"/>
          <w:b w:val="0"/>
          <w:color w:val="auto"/>
          <w:highlight w:val="none"/>
          <w:lang w:eastAsia="zh-CN"/>
        </w:rPr>
        <w:t>部门职责</w:t>
      </w:r>
      <w:bookmarkEnd w:id="3"/>
    </w:p>
    <w:p w14:paraId="59D3E16B">
      <w:pPr>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 w:eastAsia="楷体_GB2312"/>
          <w:sz w:val="32"/>
          <w:szCs w:val="32"/>
          <w:lang w:val="en-US" w:eastAsia="zh-CN"/>
        </w:rPr>
      </w:pPr>
      <w:bookmarkStart w:id="4" w:name="_Toc15396601"/>
      <w:bookmarkStart w:id="5" w:name="_Toc17184"/>
      <w:bookmarkStart w:id="6" w:name="_Toc15377200"/>
      <w:r>
        <w:rPr>
          <w:rFonts w:hint="eastAsia" w:ascii="楷体_GB2312" w:hAnsi="仿宋" w:eastAsia="楷体_GB2312"/>
          <w:b/>
          <w:sz w:val="32"/>
          <w:szCs w:val="32"/>
        </w:rPr>
        <w:t>（一）</w:t>
      </w:r>
      <w:r>
        <w:rPr>
          <w:rFonts w:hint="eastAsia" w:ascii="楷体_GB2312" w:hAnsi="仿宋" w:eastAsia="楷体_GB2312"/>
          <w:b/>
          <w:sz w:val="32"/>
          <w:szCs w:val="32"/>
          <w:lang w:val="en-US" w:eastAsia="zh-CN"/>
        </w:rPr>
        <w:t>部门</w:t>
      </w:r>
      <w:r>
        <w:rPr>
          <w:rFonts w:hint="eastAsia" w:ascii="楷体_GB2312" w:hAnsi="楷体_GB2312" w:eastAsia="楷体_GB2312" w:cs="楷体_GB2312"/>
          <w:b/>
          <w:bCs/>
          <w:sz w:val="32"/>
          <w:szCs w:val="32"/>
        </w:rPr>
        <w:t>职能</w:t>
      </w:r>
      <w:r>
        <w:rPr>
          <w:rFonts w:hint="eastAsia" w:ascii="楷体_GB2312" w:hAnsi="楷体_GB2312" w:eastAsia="楷体_GB2312" w:cs="楷体_GB2312"/>
          <w:b/>
          <w:bCs/>
          <w:sz w:val="32"/>
          <w:szCs w:val="32"/>
          <w:lang w:val="en-US" w:eastAsia="zh-CN"/>
        </w:rPr>
        <w:t>职责</w:t>
      </w:r>
    </w:p>
    <w:p w14:paraId="6DD9FA5F">
      <w:pPr>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32"/>
        </w:rPr>
      </w:pPr>
      <w:r>
        <w:rPr>
          <w:rFonts w:hint="eastAsia" w:ascii="仿宋_GB2312" w:eastAsia="仿宋_GB2312"/>
          <w:sz w:val="32"/>
          <w:szCs w:val="32"/>
        </w:rPr>
        <w:t>深入贯彻习近平新时代中国特色社会主义思想，深入贯彻党的路线方针政策和决策部署，统一检察机关思想和行动，坚持党对检察工作的绝对领导，坚决维护习近平总书记的核心地位，坚决维护党中央权威和集中统一领导。依法向荣县人民代表大会及其常务委员会提出议案。依照法律规定对由荣县人民检察院直接受理的刑事案件行使侦查权。对全县的刑事案件依法审查批准逮捕、决定逮捕、提起公诉。负责应由荣县人民检察院承办的刑事、民事、行政诉讼活动及刑事、民事、行政判决和裁定等生效法律文书执行的法律监督工作。负责应由荣县人民检察院承办的提起公益诉讼工作。负责应由荣县人民检察院承办的对看守所等执法活动的法律监督工作。受理向荣县人民检察院的控告申诉等。</w:t>
      </w:r>
    </w:p>
    <w:p w14:paraId="31694A1E">
      <w:pPr>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default" w:ascii="楷体_GB2312" w:hAnsi="仿宋" w:eastAsia="楷体_GB2312"/>
          <w:b/>
          <w:sz w:val="32"/>
          <w:szCs w:val="32"/>
          <w:lang w:val="en-US" w:eastAsia="zh-CN"/>
        </w:rPr>
      </w:pPr>
      <w:r>
        <w:rPr>
          <w:rFonts w:hint="eastAsia" w:ascii="楷体_GB2312" w:hAnsi="仿宋" w:eastAsia="楷体_GB2312"/>
          <w:b/>
          <w:sz w:val="32"/>
          <w:szCs w:val="32"/>
          <w:lang w:eastAsia="zh-CN"/>
        </w:rPr>
        <w:t>（</w:t>
      </w:r>
      <w:r>
        <w:rPr>
          <w:rFonts w:hint="eastAsia" w:ascii="楷体_GB2312" w:hAnsi="仿宋" w:eastAsia="楷体_GB2312"/>
          <w:b/>
          <w:sz w:val="32"/>
          <w:szCs w:val="32"/>
          <w:lang w:val="en-US" w:eastAsia="zh-CN"/>
        </w:rPr>
        <w:t>二</w:t>
      </w:r>
      <w:r>
        <w:rPr>
          <w:rFonts w:hint="eastAsia" w:ascii="楷体_GB2312" w:hAnsi="仿宋" w:eastAsia="楷体_GB2312"/>
          <w:b/>
          <w:sz w:val="32"/>
          <w:szCs w:val="32"/>
          <w:lang w:eastAsia="zh-CN"/>
        </w:rPr>
        <w:t>）</w:t>
      </w:r>
      <w:r>
        <w:rPr>
          <w:rFonts w:hint="eastAsia" w:ascii="楷体_GB2312" w:hAnsi="仿宋" w:eastAsia="楷体_GB2312"/>
          <w:b/>
          <w:sz w:val="32"/>
          <w:szCs w:val="32"/>
          <w:lang w:val="en-US" w:eastAsia="zh-CN"/>
        </w:rPr>
        <w:t>内设部门职能职责</w:t>
      </w:r>
    </w:p>
    <w:p w14:paraId="5F6CFB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eastAsia="仿宋_GB2312"/>
          <w:sz w:val="32"/>
        </w:rPr>
        <w:t>荣县人民检察院</w:t>
      </w:r>
      <w:r>
        <w:rPr>
          <w:rFonts w:hint="eastAsia"/>
          <w:lang w:val="en-US" w:eastAsia="zh-CN"/>
        </w:rPr>
        <w:t>内设机构改革后，共设办公室、政治部、第一检察部、第二检察部、第三检察部、第四检察部、第五检察部、综合业务部共</w:t>
      </w:r>
      <w:r>
        <w:rPr>
          <w:rFonts w:hint="eastAsia" w:ascii="Times New Roman" w:hAnsi="Times New Roman" w:eastAsia="仿宋_GB2312" w:cs="Times New Roman"/>
          <w:kern w:val="2"/>
          <w:sz w:val="32"/>
          <w:szCs w:val="24"/>
          <w:lang w:val="en-US" w:eastAsia="zh-CN" w:bidi="ar-SA"/>
        </w:rPr>
        <w:t>8</w:t>
      </w:r>
      <w:r>
        <w:rPr>
          <w:rFonts w:hint="eastAsia"/>
          <w:lang w:val="en-US" w:eastAsia="zh-CN"/>
        </w:rPr>
        <w:t>个职能业务部门。</w:t>
      </w:r>
    </w:p>
    <w:p w14:paraId="5F7243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bCs/>
          <w:sz w:val="32"/>
        </w:rPr>
      </w:pPr>
      <w:r>
        <w:rPr>
          <w:rFonts w:hint="eastAsia" w:ascii="楷体_GB2312" w:hAnsi="楷体_GB2312" w:eastAsia="楷体_GB2312" w:cs="楷体_GB2312"/>
          <w:sz w:val="32"/>
          <w:lang w:val="en-US" w:eastAsia="zh-CN"/>
        </w:rPr>
        <w:t>1.</w:t>
      </w:r>
      <w:r>
        <w:rPr>
          <w:rFonts w:hint="eastAsia" w:ascii="楷体_GB2312" w:hAnsi="楷体_GB2312" w:eastAsia="楷体_GB2312" w:cs="楷体_GB2312"/>
          <w:sz w:val="32"/>
        </w:rPr>
        <w:t>办公室（检察技术信息部）。</w:t>
      </w:r>
      <w:r>
        <w:rPr>
          <w:rFonts w:eastAsia="仿宋_GB2312"/>
          <w:sz w:val="32"/>
        </w:rPr>
        <w:t>负责机关文电、会务、机要、档案、保密等工作。协助院领导处理检察政务，组织协调院重要工作部署、重大决策的贯彻实施。承担综合性绩效考核相关工作。起草审核相关文件文稿，处理检察信息。负责领导同志批办事项督查工作。</w:t>
      </w:r>
      <w:r>
        <w:rPr>
          <w:rFonts w:hint="eastAsia" w:eastAsia="仿宋_GB2312"/>
          <w:sz w:val="32"/>
        </w:rPr>
        <w:t>负责本院计划财务管理、预决算执行、国有资产管理、政府采购等工作。负责本院检察技术、案件信息网络</w:t>
      </w:r>
      <w:r>
        <w:rPr>
          <w:rFonts w:hint="eastAsia" w:ascii="仿宋_GB2312" w:eastAsia="仿宋_GB2312"/>
          <w:sz w:val="32"/>
        </w:rPr>
        <w:t>安全、办案过程中全程同步录音录像等工作</w:t>
      </w:r>
      <w:r>
        <w:rPr>
          <w:rFonts w:hint="eastAsia" w:eastAsia="仿宋_GB2312"/>
          <w:sz w:val="32"/>
        </w:rPr>
        <w:t>。</w:t>
      </w:r>
      <w:r>
        <w:rPr>
          <w:rFonts w:hint="eastAsia" w:eastAsia="仿宋_GB2312"/>
          <w:bCs/>
          <w:sz w:val="32"/>
        </w:rPr>
        <w:t>负责人大代表、政协委员联络工作和特约检察员的联系工作，组织人民监督员工作。</w:t>
      </w:r>
    </w:p>
    <w:p w14:paraId="4DB35636">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eastAsia="仿宋_GB2312"/>
          <w:bCs/>
          <w:sz w:val="32"/>
        </w:rPr>
      </w:pPr>
      <w:r>
        <w:rPr>
          <w:rFonts w:hint="eastAsia" w:ascii="楷体_GB2312" w:hAnsi="楷体_GB2312" w:eastAsia="楷体_GB2312" w:cs="楷体_GB2312"/>
          <w:sz w:val="32"/>
          <w:lang w:val="en-US" w:eastAsia="zh-CN"/>
        </w:rPr>
        <w:t>2.</w:t>
      </w:r>
      <w:r>
        <w:rPr>
          <w:rFonts w:hint="eastAsia" w:ascii="楷体_GB2312" w:hAnsi="楷体_GB2312" w:eastAsia="楷体_GB2312" w:cs="楷体_GB2312"/>
          <w:sz w:val="32"/>
        </w:rPr>
        <w:t>政治部（司法警察大队）。</w:t>
      </w:r>
      <w:r>
        <w:rPr>
          <w:rFonts w:hint="eastAsia" w:eastAsia="仿宋_GB2312"/>
          <w:sz w:val="32"/>
        </w:rPr>
        <w:t>负责本院的</w:t>
      </w:r>
      <w:r>
        <w:rPr>
          <w:rFonts w:eastAsia="仿宋_GB2312"/>
          <w:sz w:val="32"/>
        </w:rPr>
        <w:t>思想政治工作、新闻宣传、舆论引导、组织人事</w:t>
      </w:r>
      <w:r>
        <w:rPr>
          <w:rFonts w:hint="eastAsia" w:eastAsia="仿宋_GB2312"/>
          <w:sz w:val="32"/>
        </w:rPr>
        <w:t>、</w:t>
      </w:r>
      <w:r>
        <w:rPr>
          <w:rFonts w:eastAsia="仿宋_GB2312"/>
          <w:sz w:val="32"/>
        </w:rPr>
        <w:t>教育培训</w:t>
      </w:r>
      <w:r>
        <w:rPr>
          <w:rFonts w:hint="eastAsia" w:eastAsia="仿宋_GB2312"/>
          <w:sz w:val="32"/>
        </w:rPr>
        <w:t>、离退休人员工作。负责本院检务督察工作。</w:t>
      </w:r>
      <w:r>
        <w:rPr>
          <w:rFonts w:hint="eastAsia" w:ascii="仿宋_GB2312" w:hAnsi="仿宋_GB2312" w:eastAsia="仿宋_GB2312" w:cs="仿宋_GB2312"/>
          <w:sz w:val="32"/>
        </w:rPr>
        <w:t>负责本院司法警察队伍建设和管理工作，组织司法警察执行办案场所警戒、人员押解和看管等警务事项。</w:t>
      </w:r>
    </w:p>
    <w:p w14:paraId="5E758BD6">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eastAsia="仿宋_GB2312"/>
          <w:sz w:val="32"/>
        </w:rPr>
      </w:pPr>
      <w:r>
        <w:rPr>
          <w:rFonts w:hint="eastAsia" w:ascii="楷体_GB2312" w:hAnsi="楷体_GB2312" w:eastAsia="楷体_GB2312" w:cs="楷体_GB2312"/>
          <w:sz w:val="32"/>
          <w:lang w:val="en-US" w:eastAsia="zh-CN"/>
        </w:rPr>
        <w:t>3.</w:t>
      </w:r>
      <w:r>
        <w:rPr>
          <w:rFonts w:hint="eastAsia" w:ascii="楷体_GB2312" w:hAnsi="楷体_GB2312" w:eastAsia="楷体_GB2312" w:cs="楷体_GB2312"/>
          <w:sz w:val="32"/>
        </w:rPr>
        <w:t>第一检察部。</w:t>
      </w:r>
      <w:r>
        <w:rPr>
          <w:rFonts w:hint="eastAsia" w:eastAsia="仿宋_GB2312"/>
          <w:sz w:val="32"/>
        </w:rPr>
        <w:t>负责对法律规定由荣县人民检察院办理的刑事案件的审查逮捕、审查起诉、出庭支持公诉、抗诉，开展相关立案监督、侦查监督、审判监督以及相关案件的补充侦查。负责对法律规定由荣县人民检察院办理的荣县监察委员会移送职务犯罪案件的审查逮捕、审查起诉、出庭支持公诉、抗诉，开展相关审判监督以及相关案件的补充侦查。办理荣县人民检察院管辖的相关刑事申诉案件。</w:t>
      </w:r>
    </w:p>
    <w:p w14:paraId="0E57D080">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eastAsia="仿宋_GB2312"/>
          <w:sz w:val="32"/>
        </w:rPr>
      </w:pPr>
      <w:r>
        <w:rPr>
          <w:rFonts w:hint="eastAsia" w:ascii="楷体_GB2312" w:hAnsi="楷体_GB2312" w:eastAsia="楷体_GB2312" w:cs="楷体_GB2312"/>
          <w:sz w:val="32"/>
          <w:lang w:val="en-US" w:eastAsia="zh-CN"/>
        </w:rPr>
        <w:t>4.</w:t>
      </w:r>
      <w:r>
        <w:rPr>
          <w:rFonts w:hint="eastAsia" w:ascii="楷体_GB2312" w:hAnsi="楷体_GB2312" w:eastAsia="楷体_GB2312" w:cs="楷体_GB2312"/>
          <w:sz w:val="32"/>
        </w:rPr>
        <w:t>第二检察部。</w:t>
      </w:r>
      <w:r>
        <w:rPr>
          <w:rFonts w:eastAsia="仿宋_GB2312"/>
          <w:sz w:val="32"/>
        </w:rPr>
        <w:t>负责对法律规定由荣县人民检察院办理的未成年人犯罪和侵害未成年人犯罪案件的审查逮捕、审查起诉、出庭支持公诉、抗诉，开展相关立案监督、侦查监督、审判监督以及相关案件的补充侦查。开展未成年人司法保护和预防未成年人犯罪工作。</w:t>
      </w:r>
    </w:p>
    <w:p w14:paraId="006A82F3">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eastAsia="仿宋_GB2312"/>
          <w:sz w:val="32"/>
        </w:rPr>
      </w:pPr>
      <w:r>
        <w:rPr>
          <w:rFonts w:hint="eastAsia" w:ascii="楷体_GB2312" w:hAnsi="楷体_GB2312" w:eastAsia="楷体_GB2312" w:cs="楷体_GB2312"/>
          <w:sz w:val="32"/>
          <w:lang w:val="en-US" w:eastAsia="zh-CN"/>
        </w:rPr>
        <w:t>5.</w:t>
      </w:r>
      <w:r>
        <w:rPr>
          <w:rFonts w:hint="eastAsia" w:ascii="楷体_GB2312" w:hAnsi="楷体_GB2312" w:eastAsia="楷体_GB2312" w:cs="楷体_GB2312"/>
          <w:sz w:val="32"/>
        </w:rPr>
        <w:t>第三检察部。</w:t>
      </w:r>
      <w:r>
        <w:rPr>
          <w:rFonts w:eastAsia="仿宋_GB2312"/>
          <w:sz w:val="32"/>
        </w:rPr>
        <w:t>负责对看守所和社区矫正机构等执法活动的监督。对刑事判决、裁定执行、强制医疗执行、羁押和办案期限的监督，羁押必要性审查。办理罪犯又犯罪案件。</w:t>
      </w:r>
      <w:r>
        <w:rPr>
          <w:rFonts w:hint="eastAsia" w:eastAsia="仿宋_GB2312"/>
          <w:sz w:val="32"/>
        </w:rPr>
        <w:t>负责对法律规定由荣县人民检察院办理的司法工作人员利用职权实施的非法拘禁、刑讯逼供、非法搜查等侵犯公民权利、损害司法公正犯罪，以及按照刑事诉讼法规定由人民检察院直接受理的其他重大犯罪案件的侦查。</w:t>
      </w:r>
    </w:p>
    <w:p w14:paraId="68421C63">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eastAsia="黑体"/>
          <w:sz w:val="32"/>
        </w:rPr>
      </w:pPr>
      <w:r>
        <w:rPr>
          <w:rFonts w:hint="eastAsia" w:ascii="楷体_GB2312" w:hAnsi="楷体_GB2312" w:eastAsia="楷体_GB2312" w:cs="楷体_GB2312"/>
          <w:sz w:val="32"/>
          <w:lang w:val="en-US" w:eastAsia="zh-CN"/>
        </w:rPr>
        <w:t>6.</w:t>
      </w:r>
      <w:r>
        <w:rPr>
          <w:rFonts w:hint="eastAsia" w:ascii="楷体_GB2312" w:hAnsi="楷体_GB2312" w:eastAsia="楷体_GB2312" w:cs="楷体_GB2312"/>
          <w:sz w:val="32"/>
        </w:rPr>
        <w:t>第四检察部。</w:t>
      </w:r>
      <w:r>
        <w:rPr>
          <w:rFonts w:eastAsia="仿宋_GB2312"/>
          <w:sz w:val="32"/>
        </w:rPr>
        <w:t>负责办理向荣县人民检察院申请监督的民事案件的审查、提请抗诉，承办对荣县人民法院民事诉讼活动的法律监督，对审判监督程序以外的其他民事审判程序中审判人员的违法行为提出检察建议</w:t>
      </w:r>
      <w:r>
        <w:rPr>
          <w:rFonts w:hint="eastAsia" w:eastAsia="仿宋_GB2312"/>
          <w:sz w:val="32"/>
        </w:rPr>
        <w:t>，</w:t>
      </w:r>
      <w:r>
        <w:rPr>
          <w:rFonts w:eastAsia="仿宋_GB2312"/>
          <w:sz w:val="32"/>
        </w:rPr>
        <w:t>对民事执行活动实行法律监督。开展民事支持起诉工作。办理荣县人民检察院管辖的民事申诉案件。</w:t>
      </w:r>
    </w:p>
    <w:p w14:paraId="07887B46">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eastAsia="黑体"/>
          <w:sz w:val="32"/>
        </w:rPr>
      </w:pPr>
      <w:r>
        <w:rPr>
          <w:rFonts w:hint="eastAsia" w:ascii="楷体_GB2312" w:hAnsi="楷体_GB2312" w:eastAsia="楷体_GB2312" w:cs="楷体_GB2312"/>
          <w:sz w:val="32"/>
          <w:lang w:val="en-US" w:eastAsia="zh-CN"/>
        </w:rPr>
        <w:t>7.</w:t>
      </w:r>
      <w:r>
        <w:rPr>
          <w:rFonts w:hint="eastAsia" w:ascii="楷体_GB2312" w:hAnsi="楷体_GB2312" w:eastAsia="楷体_GB2312" w:cs="楷体_GB2312"/>
          <w:sz w:val="32"/>
        </w:rPr>
        <w:t>第五检察部（公益诉讼检察部）。</w:t>
      </w:r>
      <w:r>
        <w:rPr>
          <w:rFonts w:eastAsia="仿宋_GB2312"/>
          <w:sz w:val="32"/>
        </w:rPr>
        <w:t>负责办理向荣县人民检察院申请监督的行政案件的审查、提请抗诉。承办对荣县人民法院行政诉讼活动的法律监督，对审判监督程序以外的其他行政审判程序中审判人员的违法行为提出检察建议，对行政执法活动实行法律监督。负责办理法律规定由荣县人民检察院办理的破坏生态和资源保护、食品药品安全领域侵害众多消费者合法权益等损害社会公共利益的民事公益诉讼案件，生态环境和资源保护、食品药品安全、国有财产保护、国有土地使用权出让等领域的行政公益诉讼案件，侵害英雄烈士姓名、肖像、名誉、荣誉的公益诉讼案件。负责对荣县人民法院开庭审理的公益诉讼案件，派员出席法庭，依照有关规定提出检察建议。办理荣县人民检察院管辖的行政申诉</w:t>
      </w:r>
      <w:r>
        <w:rPr>
          <w:rFonts w:hint="eastAsia" w:eastAsia="仿宋_GB2312"/>
          <w:sz w:val="32"/>
        </w:rPr>
        <w:t>和</w:t>
      </w:r>
      <w:r>
        <w:rPr>
          <w:rFonts w:eastAsia="仿宋_GB2312"/>
          <w:sz w:val="32"/>
        </w:rPr>
        <w:t>公益诉讼申诉案件。</w:t>
      </w:r>
    </w:p>
    <w:p w14:paraId="039CFC38">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eastAsia="仿宋_GB2312"/>
          <w:sz w:val="32"/>
        </w:rPr>
      </w:pPr>
      <w:r>
        <w:rPr>
          <w:rFonts w:hint="eastAsia" w:ascii="楷体_GB2312" w:hAnsi="楷体_GB2312" w:eastAsia="楷体_GB2312" w:cs="楷体_GB2312"/>
          <w:sz w:val="32"/>
          <w:lang w:val="en-US" w:eastAsia="zh-CN"/>
        </w:rPr>
        <w:t>8.</w:t>
      </w:r>
      <w:r>
        <w:rPr>
          <w:rFonts w:hint="eastAsia" w:ascii="楷体_GB2312" w:hAnsi="楷体_GB2312" w:eastAsia="楷体_GB2312" w:cs="楷体_GB2312"/>
          <w:sz w:val="32"/>
        </w:rPr>
        <w:t>综合业务部。</w:t>
      </w:r>
      <w:r>
        <w:rPr>
          <w:rFonts w:hint="eastAsia" w:eastAsia="仿宋_GB2312"/>
          <w:sz w:val="32"/>
        </w:rPr>
        <w:t>负责受理向荣县人民检察院的控告和申诉。承办荣县人民检察院管辖的国家赔偿案件和国家司法救助案件。负责法律政策研究工作，承担本院检察委员会日常工作。负责案件的统一受理流转、办案流程监控、涉案财物管理、法律文书监管、案件信息公开，统一组织办案质量评查、业务考评和业务统计分析研判等工作。</w:t>
      </w:r>
    </w:p>
    <w:p w14:paraId="1F630733">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textAlignment w:val="auto"/>
        <w:rPr>
          <w:rFonts w:ascii="仿宋" w:hAnsi="仿宋" w:eastAsia="仿宋"/>
          <w:bCs/>
          <w:color w:val="000000"/>
          <w:sz w:val="32"/>
          <w:szCs w:val="32"/>
        </w:rPr>
      </w:pPr>
      <w:r>
        <w:rPr>
          <w:rFonts w:hint="eastAsia" w:ascii="仿宋_GB2312" w:eastAsia="仿宋_GB2312"/>
          <w:sz w:val="32"/>
        </w:rPr>
        <w:t>纪检监察机构和机关党委（办），按有关规定设置。</w:t>
      </w:r>
    </w:p>
    <w:p w14:paraId="0682FDCC">
      <w:pPr>
        <w:pStyle w:val="4"/>
        <w:pageBreakBefore w:val="0"/>
        <w:kinsoku/>
        <w:wordWrap/>
        <w:overflowPunct/>
        <w:topLinePunct w:val="0"/>
        <w:bidi w:val="0"/>
        <w:spacing w:line="560" w:lineRule="exact"/>
        <w:textAlignment w:val="auto"/>
        <w:rPr>
          <w:rStyle w:val="19"/>
          <w:b w:val="0"/>
          <w:bCs w:val="0"/>
        </w:rPr>
      </w:pPr>
      <w:r>
        <w:rPr>
          <w:rFonts w:hint="eastAsia" w:ascii="黑体" w:eastAsia="黑体"/>
          <w:b w:val="0"/>
          <w:color w:val="000000"/>
        </w:rPr>
        <w:t>二、</w:t>
      </w:r>
      <w:r>
        <w:rPr>
          <w:rFonts w:hint="eastAsia" w:ascii="黑体" w:hAnsi="黑体" w:eastAsia="黑体"/>
          <w:b w:val="0"/>
          <w:color w:val="000000"/>
        </w:rPr>
        <w:t>机</w:t>
      </w:r>
      <w:r>
        <w:rPr>
          <w:rStyle w:val="19"/>
          <w:rFonts w:hint="eastAsia" w:ascii="黑体" w:hAnsi="黑体" w:eastAsia="黑体"/>
          <w:b w:val="0"/>
          <w:bCs w:val="0"/>
        </w:rPr>
        <w:t>构设置</w:t>
      </w:r>
      <w:bookmarkEnd w:id="4"/>
      <w:bookmarkEnd w:id="5"/>
      <w:bookmarkEnd w:id="6"/>
    </w:p>
    <w:p w14:paraId="6A0FB4F6">
      <w:pPr>
        <w:pageBreakBefore w:val="0"/>
        <w:kinsoku/>
        <w:wordWrap/>
        <w:overflowPunct/>
        <w:topLinePunct w:val="0"/>
        <w:bidi w:val="0"/>
        <w:spacing w:line="560" w:lineRule="exact"/>
        <w:ind w:firstLine="800" w:firstLineChars="25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kern w:val="2"/>
          <w:sz w:val="32"/>
          <w:szCs w:val="24"/>
          <w:lang w:val="en-US" w:eastAsia="zh-CN" w:bidi="ar-SA"/>
        </w:rPr>
        <w:t>荣县人民检察院下属二级单位1个</w:t>
      </w:r>
      <w:r>
        <w:rPr>
          <w:rFonts w:hint="eastAsia" w:ascii="仿宋_GB2312" w:hAnsi="仿宋_GB2312" w:eastAsia="仿宋_GB2312" w:cs="仿宋_GB2312"/>
          <w:sz w:val="32"/>
          <w:szCs w:val="32"/>
          <w:lang w:eastAsia="zh-CN"/>
        </w:rPr>
        <w:t>（含主管局本级）</w:t>
      </w:r>
      <w:r>
        <w:rPr>
          <w:rFonts w:hint="eastAsia" w:ascii="仿宋_GB2312" w:hAnsi="仿宋_GB2312" w:eastAsia="仿宋_GB2312" w:cs="仿宋_GB2312"/>
          <w:sz w:val="32"/>
          <w:szCs w:val="32"/>
        </w:rPr>
        <w:t>，</w:t>
      </w:r>
      <w:r>
        <w:rPr>
          <w:rFonts w:hint="eastAsia" w:ascii="Times New Roman" w:hAnsi="Times New Roman" w:eastAsia="仿宋_GB2312" w:cs="Times New Roman"/>
          <w:kern w:val="2"/>
          <w:sz w:val="32"/>
          <w:szCs w:val="24"/>
          <w:lang w:val="en-US" w:eastAsia="zh-CN" w:bidi="ar-SA"/>
        </w:rPr>
        <w:t>其中行政单位1个，参照公务员法管理的事业单位0个，其他事业单位0个。</w:t>
      </w:r>
    </w:p>
    <w:p w14:paraId="48068D8B">
      <w:pPr>
        <w:pStyle w:val="6"/>
        <w:pageBreakBefore w:val="0"/>
        <w:kinsoku/>
        <w:wordWrap/>
        <w:overflowPunct/>
        <w:topLinePunct w:val="0"/>
        <w:bidi w:val="0"/>
        <w:adjustRightInd w:val="0"/>
        <w:snapToGrid w:val="0"/>
        <w:spacing w:before="93" w:line="560" w:lineRule="exact"/>
        <w:ind w:firstLine="672" w:firstLineChars="21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纳入</w:t>
      </w:r>
      <w:r>
        <w:rPr>
          <w:rFonts w:hint="eastAsia" w:ascii="Times New Roman" w:hAnsi="Times New Roman" w:eastAsia="仿宋_GB2312" w:cs="Times New Roman"/>
          <w:kern w:val="2"/>
          <w:sz w:val="32"/>
          <w:szCs w:val="24"/>
          <w:lang w:val="en-US" w:eastAsia="zh-CN" w:bidi="ar-SA"/>
        </w:rPr>
        <w:t>荣县人民检察院2023</w:t>
      </w:r>
      <w:r>
        <w:rPr>
          <w:rFonts w:hint="eastAsia" w:hAnsi="仿宋_GB2312" w:cs="仿宋_GB2312"/>
          <w:color w:val="000000"/>
          <w:sz w:val="32"/>
          <w:szCs w:val="32"/>
          <w:lang w:eastAsia="zh-CN"/>
        </w:rPr>
        <w:t>年</w:t>
      </w:r>
      <w:r>
        <w:rPr>
          <w:rFonts w:hint="eastAsia" w:ascii="仿宋_GB2312" w:hAnsi="仿宋_GB2312" w:eastAsia="仿宋_GB2312" w:cs="仿宋_GB2312"/>
          <w:color w:val="000000"/>
          <w:sz w:val="32"/>
          <w:szCs w:val="32"/>
        </w:rPr>
        <w:t>度部门决算编制范围的二级预算单位包括：</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1"/>
        <w:gridCol w:w="6031"/>
      </w:tblGrid>
      <w:tr w14:paraId="00879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1" w:type="dxa"/>
            <w:noWrap w:val="0"/>
            <w:vAlign w:val="top"/>
          </w:tcPr>
          <w:p w14:paraId="6CF30916">
            <w:pPr>
              <w:pStyle w:val="6"/>
              <w:pageBreakBefore w:val="0"/>
              <w:kinsoku/>
              <w:wordWrap/>
              <w:overflowPunct/>
              <w:topLinePunct w:val="0"/>
              <w:bidi w:val="0"/>
              <w:adjustRightInd w:val="0"/>
              <w:snapToGrid w:val="0"/>
              <w:spacing w:line="560" w:lineRule="exact"/>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sz w:val="32"/>
                <w:szCs w:val="32"/>
                <w:vertAlign w:val="baseline"/>
                <w:lang w:eastAsia="zh-CN"/>
              </w:rPr>
              <w:t>序号</w:t>
            </w:r>
          </w:p>
        </w:tc>
        <w:tc>
          <w:tcPr>
            <w:tcW w:w="6031" w:type="dxa"/>
            <w:noWrap w:val="0"/>
            <w:vAlign w:val="top"/>
          </w:tcPr>
          <w:p w14:paraId="5FC92AAC">
            <w:pPr>
              <w:pStyle w:val="6"/>
              <w:pageBreakBefore w:val="0"/>
              <w:kinsoku/>
              <w:wordWrap/>
              <w:overflowPunct/>
              <w:topLinePunct w:val="0"/>
              <w:bidi w:val="0"/>
              <w:adjustRightInd w:val="0"/>
              <w:snapToGrid w:val="0"/>
              <w:spacing w:line="560" w:lineRule="exact"/>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sz w:val="32"/>
                <w:szCs w:val="32"/>
                <w:vertAlign w:val="baseline"/>
                <w:lang w:eastAsia="zh-CN"/>
              </w:rPr>
              <w:t>预算单位名称</w:t>
            </w:r>
          </w:p>
        </w:tc>
      </w:tr>
      <w:tr w14:paraId="1EF0B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1" w:type="dxa"/>
            <w:noWrap w:val="0"/>
            <w:vAlign w:val="top"/>
          </w:tcPr>
          <w:p w14:paraId="4C70EC39">
            <w:pPr>
              <w:pStyle w:val="6"/>
              <w:pageBreakBefore w:val="0"/>
              <w:kinsoku/>
              <w:wordWrap/>
              <w:overflowPunct/>
              <w:topLinePunct w:val="0"/>
              <w:bidi w:val="0"/>
              <w:adjustRightInd w:val="0"/>
              <w:snapToGrid w:val="0"/>
              <w:spacing w:line="560" w:lineRule="exact"/>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Times New Roman" w:hAnsi="Times New Roman" w:eastAsia="仿宋_GB2312" w:cs="Times New Roman"/>
                <w:kern w:val="2"/>
                <w:sz w:val="32"/>
                <w:szCs w:val="24"/>
                <w:lang w:val="en-US" w:eastAsia="zh-CN" w:bidi="ar-SA"/>
              </w:rPr>
              <w:t>1</w:t>
            </w:r>
          </w:p>
        </w:tc>
        <w:tc>
          <w:tcPr>
            <w:tcW w:w="6031" w:type="dxa"/>
            <w:noWrap w:val="0"/>
            <w:vAlign w:val="top"/>
          </w:tcPr>
          <w:p w14:paraId="46623FB8">
            <w:pPr>
              <w:pStyle w:val="6"/>
              <w:pageBreakBefore w:val="0"/>
              <w:kinsoku/>
              <w:wordWrap/>
              <w:overflowPunct/>
              <w:topLinePunct w:val="0"/>
              <w:bidi w:val="0"/>
              <w:adjustRightInd w:val="0"/>
              <w:snapToGrid w:val="0"/>
              <w:spacing w:line="560" w:lineRule="exact"/>
              <w:jc w:val="center"/>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荣县人民检察院</w:t>
            </w:r>
            <w:r>
              <w:rPr>
                <w:rFonts w:hint="eastAsia" w:hAnsi="仿宋_GB2312" w:cs="仿宋_GB2312"/>
                <w:color w:val="auto"/>
                <w:kern w:val="2"/>
                <w:sz w:val="32"/>
                <w:szCs w:val="32"/>
                <w:lang w:val="en-US" w:eastAsia="zh-CN" w:bidi="ar-SA"/>
              </w:rPr>
              <w:t>（</w:t>
            </w:r>
            <w:r>
              <w:rPr>
                <w:rFonts w:hint="eastAsia" w:ascii="仿宋_GB2312" w:hAnsi="仿宋_GB2312" w:eastAsia="仿宋_GB2312" w:cs="仿宋_GB2312"/>
                <w:color w:val="auto"/>
                <w:kern w:val="2"/>
                <w:sz w:val="32"/>
                <w:szCs w:val="32"/>
                <w:lang w:val="en-US" w:eastAsia="zh-CN" w:bidi="ar-SA"/>
              </w:rPr>
              <w:t>机关</w:t>
            </w:r>
            <w:r>
              <w:rPr>
                <w:rFonts w:hint="eastAsia" w:hAnsi="仿宋_GB2312" w:cs="仿宋_GB2312"/>
                <w:color w:val="auto"/>
                <w:kern w:val="2"/>
                <w:sz w:val="32"/>
                <w:szCs w:val="32"/>
                <w:lang w:val="en-US" w:eastAsia="zh-CN" w:bidi="ar-SA"/>
              </w:rPr>
              <w:t>）</w:t>
            </w:r>
          </w:p>
        </w:tc>
      </w:tr>
    </w:tbl>
    <w:p w14:paraId="440CE39D">
      <w:pPr>
        <w:pStyle w:val="6"/>
        <w:pageBreakBefore w:val="0"/>
        <w:kinsoku/>
        <w:wordWrap/>
        <w:overflowPunct/>
        <w:topLinePunct w:val="0"/>
        <w:bidi w:val="0"/>
        <w:adjustRightInd w:val="0"/>
        <w:snapToGrid w:val="0"/>
        <w:spacing w:before="93" w:line="560" w:lineRule="exact"/>
        <w:ind w:firstLine="672" w:firstLineChars="210"/>
        <w:textAlignment w:val="auto"/>
        <w:rPr>
          <w:rFonts w:ascii="仿宋" w:hAnsi="仿宋" w:eastAsia="仿宋"/>
          <w:color w:val="000000"/>
          <w:kern w:val="0"/>
          <w:sz w:val="32"/>
          <w:szCs w:val="32"/>
        </w:rPr>
      </w:pPr>
      <w:r>
        <w:rPr>
          <w:rFonts w:ascii="仿宋" w:hAnsi="仿宋" w:eastAsia="仿宋"/>
          <w:color w:val="000000"/>
          <w:sz w:val="32"/>
          <w:szCs w:val="32"/>
        </w:rPr>
        <w:br w:type="page"/>
      </w:r>
    </w:p>
    <w:p w14:paraId="3B4E3EDA">
      <w:pPr>
        <w:pStyle w:val="3"/>
        <w:pageBreakBefore w:val="0"/>
        <w:kinsoku/>
        <w:wordWrap/>
        <w:overflowPunct/>
        <w:topLinePunct w:val="0"/>
        <w:bidi w:val="0"/>
        <w:spacing w:line="560" w:lineRule="exact"/>
        <w:ind w:right="440"/>
        <w:jc w:val="right"/>
        <w:textAlignment w:val="auto"/>
      </w:pPr>
      <w:bookmarkStart w:id="7" w:name="_Toc15396602"/>
      <w:bookmarkStart w:id="8" w:name="_Toc15377204"/>
      <w:bookmarkStart w:id="9" w:name="_Toc1303"/>
      <w:r>
        <w:rPr>
          <w:rFonts w:hint="eastAsia" w:ascii="黑体" w:hAnsi="黑体" w:eastAsia="黑体"/>
          <w:b w:val="0"/>
          <w:color w:val="000000"/>
        </w:rPr>
        <w:t>第二部分</w:t>
      </w:r>
      <w:r>
        <w:rPr>
          <w:rFonts w:ascii="黑体" w:hAnsi="黑体" w:eastAsia="黑体"/>
          <w:color w:val="000000"/>
        </w:rPr>
        <w:t xml:space="preserve"> </w:t>
      </w:r>
      <w:r>
        <w:rPr>
          <w:rStyle w:val="18"/>
          <w:rFonts w:hint="eastAsia" w:ascii="黑体" w:hAnsi="黑体" w:eastAsia="黑体"/>
          <w:b w:val="0"/>
          <w:bCs w:val="0"/>
          <w:lang w:eastAsia="zh-CN"/>
        </w:rPr>
        <w:t>2023年</w:t>
      </w:r>
      <w:r>
        <w:rPr>
          <w:rStyle w:val="18"/>
          <w:rFonts w:hint="eastAsia" w:ascii="黑体" w:hAnsi="黑体" w:eastAsia="黑体"/>
          <w:b w:val="0"/>
          <w:bCs w:val="0"/>
        </w:rPr>
        <w:t>度部门决算情况说明</w:t>
      </w:r>
      <w:bookmarkEnd w:id="7"/>
      <w:bookmarkEnd w:id="8"/>
      <w:bookmarkEnd w:id="9"/>
    </w:p>
    <w:p w14:paraId="2096DD52">
      <w:pPr>
        <w:pStyle w:val="20"/>
        <w:pageBreakBefore w:val="0"/>
        <w:numPr>
          <w:ilvl w:val="0"/>
          <w:numId w:val="1"/>
        </w:numPr>
        <w:kinsoku/>
        <w:wordWrap/>
        <w:overflowPunct/>
        <w:topLinePunct w:val="0"/>
        <w:bidi w:val="0"/>
        <w:spacing w:line="560" w:lineRule="exact"/>
        <w:ind w:firstLineChars="0"/>
        <w:textAlignment w:val="auto"/>
        <w:outlineLvl w:val="1"/>
        <w:rPr>
          <w:rStyle w:val="19"/>
          <w:rFonts w:ascii="黑体" w:hAnsi="黑体" w:eastAsia="黑体"/>
          <w:b w:val="0"/>
        </w:rPr>
      </w:pPr>
      <w:bookmarkStart w:id="10" w:name="_Toc15377205"/>
      <w:bookmarkStart w:id="11" w:name="_Toc15396603"/>
      <w:bookmarkStart w:id="12" w:name="_Toc17065"/>
      <w:r>
        <w:rPr>
          <w:rFonts w:hint="eastAsia" w:ascii="黑体" w:hAnsi="黑体" w:eastAsia="黑体"/>
          <w:color w:val="000000"/>
          <w:sz w:val="32"/>
          <w:szCs w:val="32"/>
        </w:rPr>
        <w:t>收</w:t>
      </w:r>
      <w:r>
        <w:rPr>
          <w:rStyle w:val="19"/>
          <w:rFonts w:hint="eastAsia" w:ascii="黑体" w:hAnsi="黑体" w:eastAsia="黑体"/>
          <w:b w:val="0"/>
        </w:rPr>
        <w:t>入支出决算总体情况说明</w:t>
      </w:r>
      <w:bookmarkEnd w:id="10"/>
      <w:bookmarkEnd w:id="11"/>
      <w:bookmarkEnd w:id="12"/>
    </w:p>
    <w:p w14:paraId="693A4970">
      <w:pPr>
        <w:pageBreakBefore w:val="0"/>
        <w:kinsoku/>
        <w:wordWrap/>
        <w:overflowPunct/>
        <w:topLinePunct w:val="0"/>
        <w:bidi w:val="0"/>
        <w:spacing w:line="560" w:lineRule="exact"/>
        <w:ind w:firstLine="640" w:firstLineChars="200"/>
        <w:textAlignment w:val="auto"/>
        <w:rPr>
          <w:rFonts w:hint="eastAsia"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highlight w:val="none"/>
          <w:lang w:eastAsia="zh-CN"/>
        </w:rPr>
        <w:t>2023</w:t>
      </w:r>
      <w:r>
        <w:rPr>
          <w:rFonts w:hint="eastAsia" w:ascii="仿宋_GB2312" w:hAnsi="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rPr>
        <w:t>度收、支总计</w:t>
      </w:r>
      <w:r>
        <w:rPr>
          <w:rFonts w:hint="eastAsia" w:ascii="Times New Roman" w:hAnsi="Times New Roman" w:cs="Times New Roman"/>
          <w:color w:val="auto"/>
          <w:sz w:val="32"/>
          <w:szCs w:val="32"/>
          <w:highlight w:val="none"/>
          <w:lang w:val="en-US" w:eastAsia="zh-CN"/>
        </w:rPr>
        <w:t>1878.58</w:t>
      </w:r>
      <w:r>
        <w:rPr>
          <w:rFonts w:hint="eastAsia" w:ascii="Times New Roman" w:hAnsi="Times New Roman" w:cs="Times New Roman"/>
          <w:color w:val="auto"/>
          <w:sz w:val="32"/>
          <w:szCs w:val="32"/>
          <w:highlight w:val="none"/>
          <w:lang w:eastAsia="zh-CN"/>
        </w:rPr>
        <w:t>万元。与2022年相比，收、支总计</w:t>
      </w:r>
      <w:r>
        <w:rPr>
          <w:rFonts w:hint="eastAsia" w:cs="Times New Roman"/>
          <w:color w:val="auto"/>
          <w:sz w:val="32"/>
          <w:szCs w:val="32"/>
          <w:highlight w:val="none"/>
          <w:lang w:val="en-US" w:eastAsia="zh-CN"/>
        </w:rPr>
        <w:t>各</w:t>
      </w:r>
      <w:r>
        <w:rPr>
          <w:rFonts w:hint="eastAsia" w:ascii="Times New Roman" w:hAnsi="Times New Roman" w:cs="Times New Roman"/>
          <w:color w:val="auto"/>
          <w:sz w:val="32"/>
          <w:szCs w:val="32"/>
          <w:highlight w:val="none"/>
          <w:lang w:eastAsia="zh-CN"/>
        </w:rPr>
        <w:t>减少</w:t>
      </w:r>
      <w:r>
        <w:rPr>
          <w:rFonts w:hint="eastAsia" w:ascii="Times New Roman" w:hAnsi="Times New Roman" w:cs="Times New Roman"/>
          <w:color w:val="auto"/>
          <w:sz w:val="32"/>
          <w:szCs w:val="32"/>
          <w:highlight w:val="none"/>
          <w:lang w:val="en-US" w:eastAsia="zh-CN"/>
        </w:rPr>
        <w:t>87.63</w:t>
      </w:r>
      <w:r>
        <w:rPr>
          <w:rFonts w:hint="eastAsia" w:ascii="Times New Roman" w:hAnsi="Times New Roman" w:cs="Times New Roman"/>
          <w:color w:val="auto"/>
          <w:sz w:val="32"/>
          <w:szCs w:val="32"/>
          <w:highlight w:val="none"/>
          <w:lang w:eastAsia="zh-CN"/>
        </w:rPr>
        <w:t>万元，下降</w:t>
      </w:r>
      <w:r>
        <w:rPr>
          <w:rFonts w:hint="eastAsia" w:ascii="Times New Roman" w:hAnsi="Times New Roman" w:cs="Times New Roman"/>
          <w:color w:val="auto"/>
          <w:sz w:val="32"/>
          <w:szCs w:val="32"/>
          <w:highlight w:val="none"/>
          <w:lang w:val="en-US" w:eastAsia="zh-CN"/>
        </w:rPr>
        <w:t>4.39</w:t>
      </w:r>
      <w:r>
        <w:rPr>
          <w:rFonts w:hint="eastAsia" w:ascii="Times New Roman" w:hAnsi="Times New Roman" w:cs="Times New Roman"/>
          <w:color w:val="auto"/>
          <w:sz w:val="32"/>
          <w:szCs w:val="32"/>
          <w:highlight w:val="none"/>
          <w:lang w:eastAsia="zh-CN"/>
        </w:rPr>
        <w:t>%</w:t>
      </w:r>
      <w:r>
        <w:rPr>
          <w:rFonts w:hint="eastAsia" w:ascii="仿宋_GB2312" w:hAnsi="仿宋_GB2312" w:eastAsia="仿宋_GB2312" w:cs="仿宋_GB2312"/>
          <w:color w:val="auto"/>
          <w:sz w:val="32"/>
          <w:szCs w:val="32"/>
          <w:highlight w:val="none"/>
        </w:rPr>
        <w:t>。主要变动原因是</w:t>
      </w:r>
      <w:r>
        <w:rPr>
          <w:rFonts w:hint="eastAsia" w:ascii="Times New Roman" w:hAnsi="Times New Roman" w:cs="Times New Roman"/>
          <w:color w:val="auto"/>
          <w:sz w:val="32"/>
          <w:szCs w:val="32"/>
          <w:highlight w:val="none"/>
          <w:lang w:val="en-US" w:eastAsia="zh-CN"/>
        </w:rPr>
        <w:t>2023年我院严格落实厉行节约政策，进一步压减“三公”经费</w:t>
      </w:r>
      <w:r>
        <w:rPr>
          <w:rFonts w:hint="eastAsia" w:cs="Times New Roman"/>
          <w:color w:val="auto"/>
          <w:sz w:val="32"/>
          <w:szCs w:val="32"/>
          <w:highlight w:val="none"/>
          <w:lang w:val="en-US" w:eastAsia="zh-CN"/>
        </w:rPr>
        <w:t>和办公费用</w:t>
      </w:r>
      <w:r>
        <w:rPr>
          <w:rFonts w:hint="eastAsia" w:ascii="Times New Roman" w:hAnsi="Times New Roman" w:cs="Times New Roman"/>
          <w:color w:val="auto"/>
          <w:sz w:val="32"/>
          <w:szCs w:val="32"/>
          <w:highlight w:val="none"/>
          <w:lang w:val="en-US" w:eastAsia="zh-CN"/>
        </w:rPr>
        <w:t>支出；2023年</w:t>
      </w:r>
      <w:r>
        <w:rPr>
          <w:rFonts w:hint="eastAsia" w:cs="Times New Roman"/>
          <w:color w:val="auto"/>
          <w:sz w:val="32"/>
          <w:szCs w:val="32"/>
          <w:highlight w:val="none"/>
          <w:lang w:val="en-US" w:eastAsia="zh-CN"/>
        </w:rPr>
        <w:t>规范津贴和</w:t>
      </w:r>
      <w:r>
        <w:rPr>
          <w:rFonts w:hint="eastAsia" w:ascii="Times New Roman" w:hAnsi="Times New Roman" w:cs="Times New Roman"/>
          <w:color w:val="auto"/>
          <w:sz w:val="32"/>
          <w:szCs w:val="32"/>
          <w:highlight w:val="none"/>
          <w:lang w:val="en-US" w:eastAsia="zh-CN"/>
        </w:rPr>
        <w:t>绩效减少，导致人员经费</w:t>
      </w:r>
      <w:r>
        <w:rPr>
          <w:rFonts w:hint="eastAsia" w:cs="Times New Roman"/>
          <w:color w:val="auto"/>
          <w:sz w:val="32"/>
          <w:szCs w:val="32"/>
          <w:highlight w:val="none"/>
          <w:lang w:val="en-US" w:eastAsia="zh-CN"/>
        </w:rPr>
        <w:t>支出</w:t>
      </w:r>
      <w:r>
        <w:rPr>
          <w:rFonts w:hint="eastAsia" w:ascii="Times New Roman" w:hAnsi="Times New Roman" w:cs="Times New Roman"/>
          <w:color w:val="auto"/>
          <w:sz w:val="32"/>
          <w:szCs w:val="32"/>
          <w:highlight w:val="none"/>
          <w:lang w:val="en-US" w:eastAsia="zh-CN"/>
        </w:rPr>
        <w:t>整体下降。</w:t>
      </w:r>
    </w:p>
    <w:p w14:paraId="7C661E27">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drawing>
          <wp:anchor distT="0" distB="0" distL="114300" distR="114300" simplePos="0" relativeHeight="251661312" behindDoc="0" locked="0" layoutInCell="1" allowOverlap="1">
            <wp:simplePos x="0" y="0"/>
            <wp:positionH relativeFrom="column">
              <wp:posOffset>62230</wp:posOffset>
            </wp:positionH>
            <wp:positionV relativeFrom="paragraph">
              <wp:posOffset>153035</wp:posOffset>
            </wp:positionV>
            <wp:extent cx="5256530" cy="3130550"/>
            <wp:effectExtent l="4445" t="4445" r="15875" b="65405"/>
            <wp:wrapNone/>
            <wp:docPr id="8" name="图表 8" descr="7b0a202020202263686172745265734964223a20223230343732303435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779001E6">
      <w:pPr>
        <w:pStyle w:val="6"/>
        <w:pageBreakBefore w:val="0"/>
        <w:kinsoku/>
        <w:wordWrap/>
        <w:overflowPunct/>
        <w:topLinePunct w:val="0"/>
        <w:bidi w:val="0"/>
        <w:spacing w:line="560" w:lineRule="exact"/>
        <w:textAlignment w:val="auto"/>
        <w:rPr>
          <w:rFonts w:hint="eastAsia"/>
          <w:lang w:eastAsia="zh-CN"/>
        </w:rPr>
      </w:pPr>
    </w:p>
    <w:p w14:paraId="25144FAD">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lang w:eastAsia="zh-CN"/>
        </w:rPr>
      </w:pPr>
    </w:p>
    <w:p w14:paraId="3400F164">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lang w:eastAsia="zh-CN"/>
        </w:rPr>
      </w:pPr>
    </w:p>
    <w:p w14:paraId="7A201658">
      <w:pPr>
        <w:pStyle w:val="6"/>
        <w:pageBreakBefore w:val="0"/>
        <w:kinsoku/>
        <w:wordWrap/>
        <w:overflowPunct/>
        <w:topLinePunct w:val="0"/>
        <w:bidi w:val="0"/>
        <w:spacing w:line="560" w:lineRule="exact"/>
        <w:textAlignment w:val="auto"/>
        <w:rPr>
          <w:rFonts w:hint="eastAsia" w:ascii="仿宋_GB2312" w:hAnsi="仿宋_GB2312" w:eastAsia="仿宋_GB2312" w:cs="仿宋_GB2312"/>
          <w:color w:val="000000"/>
          <w:sz w:val="32"/>
          <w:szCs w:val="32"/>
          <w:lang w:eastAsia="zh-CN"/>
        </w:rPr>
      </w:pPr>
    </w:p>
    <w:p w14:paraId="1F866523">
      <w:pPr>
        <w:pageBreakBefore w:val="0"/>
        <w:kinsoku/>
        <w:wordWrap/>
        <w:overflowPunct/>
        <w:topLinePunct w:val="0"/>
        <w:bidi w:val="0"/>
        <w:spacing w:line="560" w:lineRule="exact"/>
        <w:textAlignment w:val="auto"/>
        <w:rPr>
          <w:rFonts w:hint="eastAsia" w:ascii="仿宋_GB2312" w:hAnsi="仿宋_GB2312" w:eastAsia="仿宋_GB2312" w:cs="仿宋_GB2312"/>
          <w:color w:val="000000"/>
          <w:sz w:val="32"/>
          <w:szCs w:val="32"/>
          <w:lang w:eastAsia="zh-CN"/>
        </w:rPr>
      </w:pPr>
    </w:p>
    <w:p w14:paraId="24FBEC7C">
      <w:pPr>
        <w:pageBreakBefore w:val="0"/>
        <w:kinsoku/>
        <w:wordWrap/>
        <w:overflowPunct/>
        <w:topLinePunct w:val="0"/>
        <w:bidi w:val="0"/>
        <w:spacing w:line="560" w:lineRule="exact"/>
        <w:textAlignment w:val="auto"/>
        <w:rPr>
          <w:rFonts w:hint="eastAsia" w:ascii="仿宋_GB2312" w:hAnsi="仿宋_GB2312" w:eastAsia="仿宋_GB2312" w:cs="仿宋_GB2312"/>
          <w:color w:val="000000"/>
          <w:sz w:val="32"/>
          <w:szCs w:val="32"/>
          <w:lang w:eastAsia="zh-CN"/>
        </w:rPr>
      </w:pPr>
    </w:p>
    <w:p w14:paraId="16C1E475">
      <w:pPr>
        <w:pageBreakBefore w:val="0"/>
        <w:kinsoku/>
        <w:wordWrap/>
        <w:overflowPunct/>
        <w:topLinePunct w:val="0"/>
        <w:bidi w:val="0"/>
        <w:spacing w:line="560" w:lineRule="exact"/>
        <w:ind w:firstLine="1280" w:firstLineChars="400"/>
        <w:textAlignment w:val="auto"/>
        <w:rPr>
          <w:rFonts w:hint="eastAsia" w:ascii="仿宋_GB2312" w:hAnsi="仿宋_GB2312" w:eastAsia="仿宋_GB2312" w:cs="仿宋_GB2312"/>
          <w:color w:val="000000"/>
          <w:sz w:val="32"/>
          <w:szCs w:val="32"/>
        </w:rPr>
      </w:pPr>
    </w:p>
    <w:p w14:paraId="29826356">
      <w:pPr>
        <w:pageBreakBefore w:val="0"/>
        <w:kinsoku/>
        <w:wordWrap/>
        <w:overflowPunct/>
        <w:topLinePunct w:val="0"/>
        <w:bidi w:val="0"/>
        <w:spacing w:line="560" w:lineRule="exact"/>
        <w:ind w:firstLine="1280" w:firstLineChars="400"/>
        <w:jc w:val="both"/>
        <w:textAlignment w:val="auto"/>
        <w:rPr>
          <w:rFonts w:hint="eastAsia" w:ascii="仿宋_GB2312" w:hAnsi="仿宋_GB2312" w:eastAsia="仿宋_GB2312" w:cs="仿宋_GB2312"/>
          <w:color w:val="000000"/>
          <w:sz w:val="32"/>
          <w:szCs w:val="32"/>
        </w:rPr>
      </w:pPr>
    </w:p>
    <w:p w14:paraId="0E904116">
      <w:pPr>
        <w:pageBreakBefore w:val="0"/>
        <w:kinsoku/>
        <w:wordWrap/>
        <w:overflowPunct/>
        <w:topLinePunct w:val="0"/>
        <w:bidi w:val="0"/>
        <w:spacing w:line="560" w:lineRule="exact"/>
        <w:ind w:firstLine="1280" w:firstLineChars="400"/>
        <w:jc w:val="both"/>
        <w:textAlignment w:val="auto"/>
        <w:rPr>
          <w:rFonts w:ascii="仿宋_GB2312" w:eastAsia="仿宋_GB2312"/>
          <w:color w:val="000000"/>
          <w:sz w:val="32"/>
          <w:szCs w:val="32"/>
        </w:rPr>
      </w:pPr>
      <w:r>
        <w:rPr>
          <w:rFonts w:hint="eastAsia" w:ascii="仿宋_GB2312" w:hAnsi="仿宋_GB2312" w:eastAsia="仿宋_GB2312" w:cs="仿宋_GB2312"/>
          <w:color w:val="000000"/>
          <w:sz w:val="32"/>
          <w:szCs w:val="32"/>
        </w:rPr>
        <w:t>（图</w:t>
      </w:r>
      <w:r>
        <w:rPr>
          <w:rFonts w:hint="eastAsia" w:cs="Times New Roman"/>
          <w:color w:val="auto"/>
          <w:sz w:val="32"/>
          <w:szCs w:val="32"/>
          <w:highlight w:val="none"/>
          <w:lang w:val="en-US" w:eastAsia="zh-CN"/>
        </w:rPr>
        <w:t>1</w:t>
      </w:r>
      <w:r>
        <w:rPr>
          <w:rFonts w:hint="eastAsia" w:ascii="仿宋_GB2312" w:hAnsi="仿宋_GB2312" w:eastAsia="仿宋_GB2312" w:cs="仿宋_GB2312"/>
          <w:color w:val="000000"/>
          <w:sz w:val="32"/>
          <w:szCs w:val="32"/>
        </w:rPr>
        <w:t>：收、支决算总计变动情况图）</w:t>
      </w:r>
    </w:p>
    <w:p w14:paraId="068A89EE">
      <w:pPr>
        <w:pStyle w:val="20"/>
        <w:pageBreakBefore w:val="0"/>
        <w:numPr>
          <w:ilvl w:val="0"/>
          <w:numId w:val="1"/>
        </w:numPr>
        <w:kinsoku/>
        <w:wordWrap/>
        <w:overflowPunct/>
        <w:topLinePunct w:val="0"/>
        <w:bidi w:val="0"/>
        <w:spacing w:line="560" w:lineRule="exact"/>
        <w:ind w:firstLineChars="0"/>
        <w:textAlignment w:val="auto"/>
        <w:outlineLvl w:val="1"/>
        <w:rPr>
          <w:rStyle w:val="19"/>
          <w:rFonts w:ascii="黑体" w:hAnsi="黑体" w:eastAsia="黑体"/>
          <w:b w:val="0"/>
        </w:rPr>
      </w:pPr>
      <w:bookmarkStart w:id="13" w:name="_Toc12413"/>
      <w:bookmarkStart w:id="14" w:name="_Toc15377206"/>
      <w:bookmarkStart w:id="15" w:name="_Toc15396604"/>
      <w:r>
        <w:rPr>
          <w:rFonts w:hint="eastAsia" w:ascii="黑体" w:hAnsi="黑体" w:eastAsia="黑体"/>
          <w:color w:val="000000"/>
          <w:sz w:val="32"/>
          <w:szCs w:val="32"/>
        </w:rPr>
        <w:t>收</w:t>
      </w:r>
      <w:r>
        <w:rPr>
          <w:rStyle w:val="19"/>
          <w:rFonts w:hint="eastAsia" w:ascii="黑体" w:hAnsi="黑体" w:eastAsia="黑体"/>
          <w:b w:val="0"/>
        </w:rPr>
        <w:t>入决算情况说明</w:t>
      </w:r>
      <w:bookmarkEnd w:id="13"/>
      <w:bookmarkEnd w:id="14"/>
      <w:bookmarkEnd w:id="15"/>
    </w:p>
    <w:p w14:paraId="7E8298EC">
      <w:pPr>
        <w:pageBreakBefore w:val="0"/>
        <w:kinsoku/>
        <w:wordWrap/>
        <w:overflowPunct/>
        <w:topLinePunct w:val="0"/>
        <w:bidi w:val="0"/>
        <w:spacing w:line="560" w:lineRule="exact"/>
        <w:ind w:firstLine="640" w:firstLineChars="200"/>
        <w:textAlignment w:val="auto"/>
        <w:outlineLvl w:val="9"/>
        <w:rPr>
          <w:rFonts w:hint="eastAsia" w:ascii="Times New Roman" w:hAnsi="Times New Roman" w:cs="Times New Roman"/>
          <w:color w:val="auto"/>
          <w:sz w:val="32"/>
          <w:szCs w:val="32"/>
          <w:highlight w:val="none"/>
          <w:lang w:val="en-US" w:eastAsia="zh-CN"/>
        </w:rPr>
      </w:pPr>
      <w:r>
        <w:rPr>
          <w:rFonts w:hint="eastAsia" w:ascii="Times New Roman" w:hAnsi="Times New Roman" w:cs="Times New Roman"/>
          <w:color w:val="auto"/>
          <w:sz w:val="32"/>
          <w:szCs w:val="32"/>
          <w:highlight w:val="none"/>
          <w:lang w:val="en-US" w:eastAsia="zh-CN"/>
        </w:rPr>
        <w:t>2023</w:t>
      </w:r>
      <w:r>
        <w:rPr>
          <w:rFonts w:hint="eastAsia" w:ascii="仿宋_GB2312" w:hAnsi="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rPr>
        <w:t>本年收入合计</w:t>
      </w:r>
      <w:r>
        <w:rPr>
          <w:rFonts w:hint="eastAsia" w:ascii="Times New Roman" w:hAnsi="Times New Roman" w:cs="Times New Roman"/>
          <w:color w:val="auto"/>
          <w:sz w:val="32"/>
          <w:szCs w:val="32"/>
          <w:highlight w:val="none"/>
          <w:lang w:val="en-US" w:eastAsia="zh-CN"/>
        </w:rPr>
        <w:t>1852.14</w:t>
      </w:r>
      <w:r>
        <w:rPr>
          <w:rFonts w:hint="eastAsia" w:ascii="仿宋_GB2312" w:hAnsi="仿宋_GB2312" w:eastAsia="仿宋_GB2312" w:cs="仿宋_GB2312"/>
          <w:color w:val="auto"/>
          <w:sz w:val="32"/>
          <w:szCs w:val="32"/>
          <w:highlight w:val="none"/>
        </w:rPr>
        <w:t>万元，其中：一般公共预算财政拨款收入</w:t>
      </w:r>
      <w:r>
        <w:rPr>
          <w:rFonts w:hint="eastAsia" w:ascii="Times New Roman" w:hAnsi="Times New Roman" w:cs="Times New Roman"/>
          <w:color w:val="auto"/>
          <w:sz w:val="32"/>
          <w:szCs w:val="32"/>
          <w:highlight w:val="none"/>
          <w:lang w:val="en-US" w:eastAsia="zh-CN"/>
        </w:rPr>
        <w:t>1282.03</w:t>
      </w:r>
      <w:r>
        <w:rPr>
          <w:rFonts w:hint="eastAsia" w:ascii="仿宋_GB2312" w:hAnsi="仿宋_GB2312" w:eastAsia="仿宋_GB2312" w:cs="仿宋_GB2312"/>
          <w:color w:val="auto"/>
          <w:sz w:val="32"/>
          <w:szCs w:val="32"/>
          <w:highlight w:val="none"/>
        </w:rPr>
        <w:t>万元，占</w:t>
      </w:r>
      <w:r>
        <w:rPr>
          <w:rFonts w:hint="eastAsia" w:ascii="Times New Roman" w:hAnsi="Times New Roman" w:cs="Times New Roman"/>
          <w:color w:val="auto"/>
          <w:sz w:val="32"/>
          <w:szCs w:val="32"/>
          <w:highlight w:val="none"/>
          <w:lang w:val="en-US" w:eastAsia="zh-CN"/>
        </w:rPr>
        <w:t>69.22%；政府性基金预算财政拨款收入</w:t>
      </w:r>
      <w:r>
        <w:rPr>
          <w:rFonts w:hint="eastAsia" w:ascii="Times New Roman" w:hAnsi="Times New Roman" w:eastAsia="仿宋_GB2312" w:cs="Times New Roman"/>
          <w:kern w:val="2"/>
          <w:sz w:val="32"/>
          <w:szCs w:val="24"/>
          <w:lang w:val="en-US" w:eastAsia="zh-CN" w:bidi="ar-SA"/>
        </w:rPr>
        <w:t>0.00</w:t>
      </w:r>
      <w:r>
        <w:rPr>
          <w:rFonts w:hint="eastAsia" w:ascii="Times New Roman" w:hAnsi="Times New Roman" w:cs="Times New Roman"/>
          <w:color w:val="auto"/>
          <w:sz w:val="32"/>
          <w:szCs w:val="32"/>
          <w:highlight w:val="none"/>
          <w:lang w:val="en-US" w:eastAsia="zh-CN"/>
        </w:rPr>
        <w:t>万元，占</w:t>
      </w:r>
      <w:r>
        <w:rPr>
          <w:rFonts w:hint="eastAsia" w:ascii="Times New Roman" w:hAnsi="Times New Roman" w:eastAsia="仿宋_GB2312" w:cs="Times New Roman"/>
          <w:kern w:val="2"/>
          <w:sz w:val="32"/>
          <w:szCs w:val="24"/>
          <w:lang w:val="en-US" w:eastAsia="zh-CN" w:bidi="ar-SA"/>
        </w:rPr>
        <w:t>0.00%</w:t>
      </w:r>
      <w:r>
        <w:rPr>
          <w:rFonts w:hint="eastAsia" w:ascii="Times New Roman" w:hAnsi="Times New Roman" w:cs="Times New Roman"/>
          <w:color w:val="auto"/>
          <w:sz w:val="32"/>
          <w:szCs w:val="32"/>
          <w:highlight w:val="none"/>
          <w:lang w:val="en-US" w:eastAsia="zh-CN"/>
        </w:rPr>
        <w:t>；国有资本经营预算财政拨款收入</w:t>
      </w:r>
      <w:r>
        <w:rPr>
          <w:rFonts w:hint="eastAsia" w:ascii="Times New Roman" w:hAnsi="Times New Roman" w:eastAsia="仿宋_GB2312" w:cs="Times New Roman"/>
          <w:kern w:val="2"/>
          <w:sz w:val="32"/>
          <w:szCs w:val="24"/>
          <w:lang w:val="en-US" w:eastAsia="zh-CN" w:bidi="ar-SA"/>
        </w:rPr>
        <w:t>0.00</w:t>
      </w:r>
      <w:r>
        <w:rPr>
          <w:rFonts w:hint="eastAsia" w:ascii="Times New Roman" w:hAnsi="Times New Roman" w:cs="Times New Roman"/>
          <w:color w:val="auto"/>
          <w:sz w:val="32"/>
          <w:szCs w:val="32"/>
          <w:highlight w:val="none"/>
          <w:lang w:val="en-US" w:eastAsia="zh-CN"/>
        </w:rPr>
        <w:t>万元，占</w:t>
      </w:r>
      <w:r>
        <w:rPr>
          <w:rFonts w:hint="eastAsia" w:ascii="Times New Roman" w:hAnsi="Times New Roman" w:eastAsia="仿宋_GB2312" w:cs="Times New Roman"/>
          <w:kern w:val="2"/>
          <w:sz w:val="32"/>
          <w:szCs w:val="24"/>
          <w:lang w:val="en-US" w:eastAsia="zh-CN" w:bidi="ar-SA"/>
        </w:rPr>
        <w:t>0.00%</w:t>
      </w:r>
      <w:r>
        <w:rPr>
          <w:rFonts w:hint="eastAsia" w:ascii="Times New Roman" w:hAnsi="Times New Roman" w:cs="Times New Roman"/>
          <w:color w:val="auto"/>
          <w:sz w:val="32"/>
          <w:szCs w:val="32"/>
          <w:highlight w:val="none"/>
          <w:lang w:val="en-US" w:eastAsia="zh-CN"/>
        </w:rPr>
        <w:t>；上级补助收入</w:t>
      </w:r>
      <w:r>
        <w:rPr>
          <w:rFonts w:hint="eastAsia" w:ascii="Times New Roman" w:hAnsi="Times New Roman" w:eastAsia="仿宋_GB2312" w:cs="Times New Roman"/>
          <w:kern w:val="2"/>
          <w:sz w:val="32"/>
          <w:szCs w:val="24"/>
          <w:lang w:val="en-US" w:eastAsia="zh-CN" w:bidi="ar-SA"/>
        </w:rPr>
        <w:t>0.00</w:t>
      </w:r>
      <w:r>
        <w:rPr>
          <w:rFonts w:hint="eastAsia" w:ascii="Times New Roman" w:hAnsi="Times New Roman" w:cs="Times New Roman"/>
          <w:color w:val="auto"/>
          <w:sz w:val="32"/>
          <w:szCs w:val="32"/>
          <w:highlight w:val="none"/>
          <w:lang w:val="en-US" w:eastAsia="zh-CN"/>
        </w:rPr>
        <w:t>万元，占</w:t>
      </w:r>
      <w:r>
        <w:rPr>
          <w:rFonts w:hint="eastAsia" w:ascii="Times New Roman" w:hAnsi="Times New Roman" w:eastAsia="仿宋_GB2312" w:cs="Times New Roman"/>
          <w:kern w:val="2"/>
          <w:sz w:val="32"/>
          <w:szCs w:val="24"/>
          <w:lang w:val="en-US" w:eastAsia="zh-CN" w:bidi="ar-SA"/>
        </w:rPr>
        <w:t>0.00%</w:t>
      </w:r>
      <w:r>
        <w:rPr>
          <w:rFonts w:hint="eastAsia" w:ascii="Times New Roman" w:hAnsi="Times New Roman" w:cs="Times New Roman"/>
          <w:color w:val="auto"/>
          <w:sz w:val="32"/>
          <w:szCs w:val="32"/>
          <w:highlight w:val="none"/>
          <w:lang w:val="en-US" w:eastAsia="zh-CN"/>
        </w:rPr>
        <w:t>；事业收入</w:t>
      </w:r>
      <w:r>
        <w:rPr>
          <w:rFonts w:hint="eastAsia" w:ascii="Times New Roman" w:hAnsi="Times New Roman" w:eastAsia="仿宋_GB2312" w:cs="Times New Roman"/>
          <w:kern w:val="2"/>
          <w:sz w:val="32"/>
          <w:szCs w:val="24"/>
          <w:lang w:val="en-US" w:eastAsia="zh-CN" w:bidi="ar-SA"/>
        </w:rPr>
        <w:t>0.00</w:t>
      </w:r>
      <w:r>
        <w:rPr>
          <w:rFonts w:hint="eastAsia" w:ascii="Times New Roman" w:hAnsi="Times New Roman" w:cs="Times New Roman"/>
          <w:color w:val="auto"/>
          <w:sz w:val="32"/>
          <w:szCs w:val="32"/>
          <w:highlight w:val="none"/>
          <w:lang w:val="en-US" w:eastAsia="zh-CN"/>
        </w:rPr>
        <w:t>万元，占</w:t>
      </w:r>
      <w:r>
        <w:rPr>
          <w:rFonts w:hint="eastAsia" w:ascii="Times New Roman" w:hAnsi="Times New Roman" w:eastAsia="仿宋_GB2312" w:cs="Times New Roman"/>
          <w:kern w:val="2"/>
          <w:sz w:val="32"/>
          <w:szCs w:val="24"/>
          <w:lang w:val="en-US" w:eastAsia="zh-CN" w:bidi="ar-SA"/>
        </w:rPr>
        <w:t>0.00%</w:t>
      </w:r>
      <w:r>
        <w:rPr>
          <w:rFonts w:hint="eastAsia" w:ascii="Times New Roman" w:hAnsi="Times New Roman" w:cs="Times New Roman"/>
          <w:color w:val="auto"/>
          <w:sz w:val="32"/>
          <w:szCs w:val="32"/>
          <w:highlight w:val="none"/>
          <w:lang w:val="en-US" w:eastAsia="zh-CN"/>
        </w:rPr>
        <w:t>；经营收入</w:t>
      </w:r>
      <w:r>
        <w:rPr>
          <w:rFonts w:hint="eastAsia" w:ascii="Times New Roman" w:hAnsi="Times New Roman" w:eastAsia="仿宋_GB2312" w:cs="Times New Roman"/>
          <w:kern w:val="2"/>
          <w:sz w:val="32"/>
          <w:szCs w:val="24"/>
          <w:lang w:val="en-US" w:eastAsia="zh-CN" w:bidi="ar-SA"/>
        </w:rPr>
        <w:t>0.00</w:t>
      </w:r>
      <w:r>
        <w:rPr>
          <w:rFonts w:hint="eastAsia" w:ascii="Times New Roman" w:hAnsi="Times New Roman" w:cs="Times New Roman"/>
          <w:color w:val="auto"/>
          <w:sz w:val="32"/>
          <w:szCs w:val="32"/>
          <w:highlight w:val="none"/>
          <w:lang w:val="en-US" w:eastAsia="zh-CN"/>
        </w:rPr>
        <w:t>万元，占</w:t>
      </w:r>
      <w:r>
        <w:rPr>
          <w:rFonts w:hint="eastAsia" w:ascii="Times New Roman" w:hAnsi="Times New Roman" w:eastAsia="仿宋_GB2312" w:cs="Times New Roman"/>
          <w:kern w:val="2"/>
          <w:sz w:val="32"/>
          <w:szCs w:val="24"/>
          <w:lang w:val="en-US" w:eastAsia="zh-CN" w:bidi="ar-SA"/>
        </w:rPr>
        <w:t>0.00%</w:t>
      </w:r>
      <w:r>
        <w:rPr>
          <w:rFonts w:hint="eastAsia" w:ascii="Times New Roman" w:hAnsi="Times New Roman" w:cs="Times New Roman"/>
          <w:color w:val="auto"/>
          <w:sz w:val="32"/>
          <w:szCs w:val="32"/>
          <w:highlight w:val="none"/>
          <w:lang w:val="en-US" w:eastAsia="zh-CN"/>
        </w:rPr>
        <w:t>；附属单位上缴收入</w:t>
      </w:r>
      <w:r>
        <w:rPr>
          <w:rFonts w:hint="eastAsia" w:ascii="Times New Roman" w:hAnsi="Times New Roman" w:eastAsia="仿宋_GB2312" w:cs="Times New Roman"/>
          <w:kern w:val="2"/>
          <w:sz w:val="32"/>
          <w:szCs w:val="24"/>
          <w:lang w:val="en-US" w:eastAsia="zh-CN" w:bidi="ar-SA"/>
        </w:rPr>
        <w:t>0.00</w:t>
      </w:r>
      <w:r>
        <w:rPr>
          <w:rFonts w:hint="eastAsia" w:ascii="Times New Roman" w:hAnsi="Times New Roman" w:cs="Times New Roman"/>
          <w:color w:val="auto"/>
          <w:sz w:val="32"/>
          <w:szCs w:val="32"/>
          <w:highlight w:val="none"/>
          <w:lang w:val="en-US" w:eastAsia="zh-CN"/>
        </w:rPr>
        <w:t>万元，占</w:t>
      </w:r>
      <w:r>
        <w:rPr>
          <w:rFonts w:hint="eastAsia" w:ascii="Times New Roman" w:hAnsi="Times New Roman" w:eastAsia="仿宋_GB2312" w:cs="Times New Roman"/>
          <w:kern w:val="2"/>
          <w:sz w:val="32"/>
          <w:szCs w:val="24"/>
          <w:lang w:val="en-US" w:eastAsia="zh-CN" w:bidi="ar-SA"/>
        </w:rPr>
        <w:t>0.00%</w:t>
      </w:r>
      <w:r>
        <w:rPr>
          <w:rFonts w:hint="eastAsia" w:ascii="Times New Roman" w:hAnsi="Times New Roman" w:cs="Times New Roman"/>
          <w:color w:val="auto"/>
          <w:sz w:val="32"/>
          <w:szCs w:val="32"/>
          <w:highlight w:val="none"/>
          <w:lang w:val="en-US" w:eastAsia="zh-CN"/>
        </w:rPr>
        <w:t>；其他收入</w:t>
      </w:r>
      <w:r>
        <w:rPr>
          <w:rFonts w:hint="eastAsia" w:cs="Times New Roman"/>
          <w:color w:val="auto"/>
          <w:sz w:val="32"/>
          <w:szCs w:val="32"/>
          <w:highlight w:val="none"/>
          <w:lang w:val="en-US" w:eastAsia="zh-CN"/>
        </w:rPr>
        <w:t>570.11</w:t>
      </w:r>
      <w:r>
        <w:rPr>
          <w:rFonts w:hint="eastAsia" w:ascii="Times New Roman" w:hAnsi="Times New Roman" w:cs="Times New Roman"/>
          <w:color w:val="auto"/>
          <w:sz w:val="32"/>
          <w:szCs w:val="32"/>
          <w:highlight w:val="none"/>
          <w:lang w:val="en-US" w:eastAsia="zh-CN"/>
        </w:rPr>
        <w:t>万元，占</w:t>
      </w:r>
      <w:r>
        <w:rPr>
          <w:rFonts w:hint="eastAsia" w:cs="Times New Roman"/>
          <w:color w:val="auto"/>
          <w:sz w:val="32"/>
          <w:szCs w:val="32"/>
          <w:highlight w:val="none"/>
          <w:lang w:val="en-US" w:eastAsia="zh-CN"/>
        </w:rPr>
        <w:t>30.78</w:t>
      </w:r>
      <w:r>
        <w:rPr>
          <w:rFonts w:hint="eastAsia" w:ascii="Times New Roman" w:hAnsi="Times New Roman" w:cs="Times New Roman"/>
          <w:color w:val="auto"/>
          <w:sz w:val="32"/>
          <w:szCs w:val="32"/>
          <w:highlight w:val="none"/>
          <w:lang w:val="en-US" w:eastAsia="zh-CN"/>
        </w:rPr>
        <w:t>%。</w:t>
      </w:r>
    </w:p>
    <w:p w14:paraId="7F40FC25">
      <w:pPr>
        <w:pStyle w:val="6"/>
        <w:rPr>
          <w:rFonts w:hint="eastAsia"/>
          <w:lang w:val="en-US" w:eastAsia="zh-CN"/>
        </w:rPr>
      </w:pPr>
      <w:r>
        <w:rPr>
          <w:rFonts w:hint="eastAsia" w:ascii="仿宋" w:hAnsi="仿宋" w:eastAsia="仿宋"/>
          <w:color w:val="000000"/>
          <w:sz w:val="32"/>
          <w:szCs w:val="32"/>
          <w:lang w:eastAsia="zh-CN"/>
        </w:rPr>
        <w:drawing>
          <wp:anchor distT="0" distB="0" distL="114300" distR="114300" simplePos="0" relativeHeight="251662336" behindDoc="0" locked="0" layoutInCell="1" allowOverlap="1">
            <wp:simplePos x="0" y="0"/>
            <wp:positionH relativeFrom="column">
              <wp:posOffset>68580</wp:posOffset>
            </wp:positionH>
            <wp:positionV relativeFrom="paragraph">
              <wp:posOffset>145415</wp:posOffset>
            </wp:positionV>
            <wp:extent cx="5190490" cy="2826385"/>
            <wp:effectExtent l="4445" t="4445" r="5715" b="7620"/>
            <wp:wrapNone/>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32E0008F">
      <w:pPr>
        <w:pageBreakBefore w:val="0"/>
        <w:kinsoku/>
        <w:wordWrap/>
        <w:overflowPunct/>
        <w:topLinePunct w:val="0"/>
        <w:bidi w:val="0"/>
        <w:spacing w:line="560" w:lineRule="exact"/>
        <w:ind w:firstLine="640" w:firstLineChars="200"/>
        <w:textAlignment w:val="auto"/>
        <w:outlineLvl w:val="1"/>
        <w:rPr>
          <w:rFonts w:hint="eastAsia" w:ascii="仿宋" w:hAnsi="仿宋" w:eastAsia="仿宋"/>
          <w:color w:val="000000"/>
          <w:sz w:val="32"/>
          <w:szCs w:val="32"/>
          <w:lang w:eastAsia="zh-CN"/>
        </w:rPr>
      </w:pPr>
    </w:p>
    <w:p w14:paraId="67007C9F">
      <w:pPr>
        <w:pageBreakBefore w:val="0"/>
        <w:kinsoku/>
        <w:wordWrap/>
        <w:overflowPunct/>
        <w:topLinePunct w:val="0"/>
        <w:bidi w:val="0"/>
        <w:spacing w:line="560" w:lineRule="exact"/>
        <w:ind w:firstLine="640" w:firstLineChars="200"/>
        <w:textAlignment w:val="auto"/>
        <w:outlineLvl w:val="1"/>
        <w:rPr>
          <w:rFonts w:hint="eastAsia" w:ascii="仿宋" w:hAnsi="仿宋" w:eastAsia="仿宋"/>
          <w:color w:val="000000"/>
          <w:sz w:val="32"/>
          <w:szCs w:val="32"/>
          <w:lang w:eastAsia="zh-CN"/>
        </w:rPr>
      </w:pPr>
    </w:p>
    <w:p w14:paraId="7944EB37">
      <w:pPr>
        <w:pageBreakBefore w:val="0"/>
        <w:kinsoku/>
        <w:wordWrap/>
        <w:overflowPunct/>
        <w:topLinePunct w:val="0"/>
        <w:bidi w:val="0"/>
        <w:spacing w:line="560" w:lineRule="exact"/>
        <w:ind w:firstLine="640" w:firstLineChars="200"/>
        <w:textAlignment w:val="auto"/>
        <w:outlineLvl w:val="1"/>
        <w:rPr>
          <w:rFonts w:hint="eastAsia" w:ascii="仿宋" w:hAnsi="仿宋" w:eastAsia="仿宋"/>
          <w:color w:val="000000"/>
          <w:sz w:val="32"/>
          <w:szCs w:val="32"/>
          <w:lang w:eastAsia="zh-CN"/>
        </w:rPr>
      </w:pPr>
    </w:p>
    <w:p w14:paraId="7A60D57C">
      <w:pPr>
        <w:pageBreakBefore w:val="0"/>
        <w:kinsoku/>
        <w:wordWrap/>
        <w:overflowPunct/>
        <w:topLinePunct w:val="0"/>
        <w:bidi w:val="0"/>
        <w:spacing w:line="560" w:lineRule="exact"/>
        <w:ind w:firstLine="640" w:firstLineChars="200"/>
        <w:textAlignment w:val="auto"/>
        <w:outlineLvl w:val="1"/>
        <w:rPr>
          <w:rFonts w:hint="eastAsia" w:ascii="仿宋" w:hAnsi="仿宋" w:eastAsia="仿宋"/>
          <w:color w:val="000000"/>
          <w:sz w:val="32"/>
          <w:szCs w:val="32"/>
          <w:lang w:eastAsia="zh-CN"/>
        </w:rPr>
      </w:pPr>
    </w:p>
    <w:p w14:paraId="086709AA">
      <w:pPr>
        <w:pageBreakBefore w:val="0"/>
        <w:kinsoku/>
        <w:wordWrap/>
        <w:overflowPunct/>
        <w:topLinePunct w:val="0"/>
        <w:bidi w:val="0"/>
        <w:spacing w:line="560" w:lineRule="exact"/>
        <w:ind w:firstLine="640" w:firstLineChars="200"/>
        <w:textAlignment w:val="auto"/>
        <w:outlineLvl w:val="1"/>
        <w:rPr>
          <w:rFonts w:hint="eastAsia" w:ascii="仿宋" w:hAnsi="仿宋" w:eastAsia="仿宋"/>
          <w:color w:val="000000"/>
          <w:sz w:val="32"/>
          <w:szCs w:val="32"/>
          <w:lang w:eastAsia="zh-CN"/>
        </w:rPr>
      </w:pPr>
    </w:p>
    <w:p w14:paraId="32FC143B">
      <w:pPr>
        <w:pageBreakBefore w:val="0"/>
        <w:kinsoku/>
        <w:wordWrap/>
        <w:overflowPunct/>
        <w:topLinePunct w:val="0"/>
        <w:bidi w:val="0"/>
        <w:spacing w:line="560" w:lineRule="exact"/>
        <w:ind w:firstLine="640" w:firstLineChars="200"/>
        <w:textAlignment w:val="auto"/>
        <w:outlineLvl w:val="1"/>
        <w:rPr>
          <w:rFonts w:hint="eastAsia" w:ascii="仿宋" w:hAnsi="仿宋" w:eastAsia="仿宋"/>
          <w:color w:val="000000"/>
          <w:sz w:val="32"/>
          <w:szCs w:val="32"/>
          <w:lang w:eastAsia="zh-CN"/>
        </w:rPr>
      </w:pPr>
    </w:p>
    <w:p w14:paraId="6251ED4F">
      <w:pPr>
        <w:pageBreakBefore w:val="0"/>
        <w:kinsoku/>
        <w:wordWrap/>
        <w:overflowPunct/>
        <w:topLinePunct w:val="0"/>
        <w:bidi w:val="0"/>
        <w:spacing w:line="560" w:lineRule="exact"/>
        <w:ind w:firstLine="640" w:firstLineChars="200"/>
        <w:textAlignment w:val="auto"/>
        <w:outlineLvl w:val="1"/>
        <w:rPr>
          <w:rFonts w:hint="eastAsia" w:ascii="仿宋" w:hAnsi="仿宋" w:eastAsia="仿宋"/>
          <w:color w:val="000000"/>
          <w:sz w:val="32"/>
          <w:szCs w:val="32"/>
          <w:lang w:eastAsia="zh-CN"/>
        </w:rPr>
      </w:pPr>
    </w:p>
    <w:p w14:paraId="09022127">
      <w:pPr>
        <w:pageBreakBefore w:val="0"/>
        <w:kinsoku/>
        <w:wordWrap/>
        <w:overflowPunct/>
        <w:topLinePunct w:val="0"/>
        <w:bidi w:val="0"/>
        <w:spacing w:line="560" w:lineRule="exact"/>
        <w:textAlignment w:val="auto"/>
        <w:outlineLvl w:val="1"/>
        <w:rPr>
          <w:rFonts w:hint="eastAsia" w:ascii="仿宋" w:hAnsi="仿宋" w:eastAsia="仿宋"/>
          <w:color w:val="000000"/>
          <w:sz w:val="32"/>
          <w:szCs w:val="32"/>
          <w:lang w:eastAsia="zh-CN"/>
        </w:rPr>
      </w:pPr>
    </w:p>
    <w:p w14:paraId="6B668AC4">
      <w:pPr>
        <w:pageBreakBefore w:val="0"/>
        <w:kinsoku/>
        <w:wordWrap/>
        <w:overflowPunct/>
        <w:topLinePunct w:val="0"/>
        <w:bidi w:val="0"/>
        <w:spacing w:line="560" w:lineRule="exact"/>
        <w:ind w:firstLine="640" w:firstLineChars="200"/>
        <w:jc w:val="center"/>
        <w:textAlignment w:val="auto"/>
        <w:rPr>
          <w:rFonts w:ascii="仿宋_GB2312" w:eastAsia="仿宋_GB2312"/>
          <w:color w:val="FF0000"/>
          <w:sz w:val="32"/>
          <w:szCs w:val="32"/>
        </w:rPr>
      </w:pPr>
      <w:r>
        <w:rPr>
          <w:rFonts w:hint="eastAsia" w:ascii="仿宋_GB2312" w:hAnsi="仿宋_GB2312" w:eastAsia="仿宋_GB2312" w:cs="仿宋_GB2312"/>
          <w:color w:val="000000"/>
          <w:sz w:val="32"/>
          <w:szCs w:val="32"/>
        </w:rPr>
        <w:t>（图</w:t>
      </w:r>
      <w:r>
        <w:rPr>
          <w:rFonts w:hint="eastAsia" w:cs="Times New Roman"/>
          <w:color w:val="auto"/>
          <w:sz w:val="32"/>
          <w:szCs w:val="32"/>
          <w:highlight w:val="none"/>
          <w:lang w:val="en-US" w:eastAsia="zh-CN"/>
        </w:rPr>
        <w:t>2</w:t>
      </w:r>
      <w:r>
        <w:rPr>
          <w:rFonts w:hint="eastAsia" w:ascii="仿宋_GB2312" w:hAnsi="仿宋_GB2312" w:eastAsia="仿宋_GB2312" w:cs="仿宋_GB2312"/>
          <w:color w:val="000000"/>
          <w:sz w:val="32"/>
          <w:szCs w:val="32"/>
        </w:rPr>
        <w:t>：收入决算结构图）</w:t>
      </w:r>
    </w:p>
    <w:p w14:paraId="09F28A0C">
      <w:pPr>
        <w:pStyle w:val="20"/>
        <w:pageBreakBefore w:val="0"/>
        <w:numPr>
          <w:ilvl w:val="0"/>
          <w:numId w:val="1"/>
        </w:numPr>
        <w:kinsoku/>
        <w:wordWrap/>
        <w:overflowPunct/>
        <w:topLinePunct w:val="0"/>
        <w:bidi w:val="0"/>
        <w:spacing w:line="560" w:lineRule="exact"/>
        <w:ind w:firstLineChars="0"/>
        <w:textAlignment w:val="auto"/>
        <w:outlineLvl w:val="1"/>
        <w:rPr>
          <w:rStyle w:val="19"/>
          <w:rFonts w:ascii="黑体" w:hAnsi="黑体" w:eastAsia="黑体"/>
          <w:b w:val="0"/>
        </w:rPr>
      </w:pPr>
      <w:bookmarkStart w:id="16" w:name="_Toc15377207"/>
      <w:bookmarkStart w:id="17" w:name="_Toc15396605"/>
      <w:bookmarkStart w:id="18" w:name="_Toc8342"/>
      <w:r>
        <w:rPr>
          <w:rFonts w:hint="eastAsia" w:ascii="黑体" w:hAnsi="黑体" w:eastAsia="黑体"/>
          <w:color w:val="000000"/>
          <w:sz w:val="32"/>
          <w:szCs w:val="32"/>
        </w:rPr>
        <w:t>支</w:t>
      </w:r>
      <w:r>
        <w:rPr>
          <w:rStyle w:val="19"/>
          <w:rFonts w:hint="eastAsia" w:ascii="黑体" w:hAnsi="黑体" w:eastAsia="黑体"/>
          <w:b w:val="0"/>
        </w:rPr>
        <w:t>出决算情况说明</w:t>
      </w:r>
      <w:bookmarkEnd w:id="16"/>
      <w:bookmarkEnd w:id="17"/>
      <w:bookmarkEnd w:id="18"/>
    </w:p>
    <w:p w14:paraId="21868C46">
      <w:pPr>
        <w:pageBreakBefore w:val="0"/>
        <w:kinsoku/>
        <w:wordWrap/>
        <w:overflowPunct/>
        <w:topLinePunct w:val="0"/>
        <w:bidi w:val="0"/>
        <w:spacing w:line="560" w:lineRule="exact"/>
        <w:ind w:firstLine="640" w:firstLineChars="200"/>
        <w:textAlignment w:val="auto"/>
        <w:outlineLvl w:val="9"/>
        <w:rPr>
          <w:rFonts w:hint="eastAsia"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2023年本年支出合计</w:t>
      </w:r>
      <w:r>
        <w:rPr>
          <w:rFonts w:hint="eastAsia" w:cs="Times New Roman"/>
          <w:kern w:val="2"/>
          <w:sz w:val="32"/>
          <w:szCs w:val="24"/>
          <w:lang w:val="en-US" w:eastAsia="zh-CN" w:bidi="ar-SA"/>
        </w:rPr>
        <w:t>1840.73</w:t>
      </w:r>
      <w:r>
        <w:rPr>
          <w:rFonts w:hint="eastAsia" w:ascii="Times New Roman" w:hAnsi="Times New Roman" w:eastAsia="仿宋_GB2312" w:cs="Times New Roman"/>
          <w:kern w:val="2"/>
          <w:sz w:val="32"/>
          <w:szCs w:val="24"/>
          <w:lang w:val="en-US" w:eastAsia="zh-CN" w:bidi="ar-SA"/>
        </w:rPr>
        <w:t>万元，其中：基本支出</w:t>
      </w:r>
      <w:r>
        <w:rPr>
          <w:rFonts w:hint="eastAsia" w:cs="Times New Roman"/>
          <w:kern w:val="2"/>
          <w:sz w:val="32"/>
          <w:szCs w:val="24"/>
          <w:lang w:val="en-US" w:eastAsia="zh-CN" w:bidi="ar-SA"/>
        </w:rPr>
        <w:t>1628.97</w:t>
      </w:r>
      <w:r>
        <w:rPr>
          <w:rFonts w:hint="eastAsia" w:ascii="Times New Roman" w:hAnsi="Times New Roman" w:eastAsia="仿宋_GB2312" w:cs="Times New Roman"/>
          <w:kern w:val="2"/>
          <w:sz w:val="32"/>
          <w:szCs w:val="24"/>
          <w:lang w:val="en-US" w:eastAsia="zh-CN" w:bidi="ar-SA"/>
        </w:rPr>
        <w:t>万元，占</w:t>
      </w:r>
      <w:r>
        <w:rPr>
          <w:rFonts w:hint="eastAsia" w:cs="Times New Roman"/>
          <w:kern w:val="2"/>
          <w:sz w:val="32"/>
          <w:szCs w:val="24"/>
          <w:lang w:val="en-US" w:eastAsia="zh-CN" w:bidi="ar-SA"/>
        </w:rPr>
        <w:t>88.50</w:t>
      </w:r>
      <w:r>
        <w:rPr>
          <w:rFonts w:hint="eastAsia" w:ascii="Times New Roman" w:hAnsi="Times New Roman" w:eastAsia="仿宋_GB2312" w:cs="Times New Roman"/>
          <w:kern w:val="2"/>
          <w:sz w:val="32"/>
          <w:szCs w:val="24"/>
          <w:lang w:val="en-US" w:eastAsia="zh-CN" w:bidi="ar-SA"/>
        </w:rPr>
        <w:t>%；项目支出</w:t>
      </w:r>
      <w:r>
        <w:rPr>
          <w:rFonts w:hint="eastAsia" w:cs="Times New Roman"/>
          <w:kern w:val="2"/>
          <w:sz w:val="32"/>
          <w:szCs w:val="24"/>
          <w:lang w:val="en-US" w:eastAsia="zh-CN" w:bidi="ar-SA"/>
        </w:rPr>
        <w:t>211.77</w:t>
      </w:r>
      <w:r>
        <w:rPr>
          <w:rFonts w:hint="eastAsia" w:ascii="Times New Roman" w:hAnsi="Times New Roman" w:eastAsia="仿宋_GB2312" w:cs="Times New Roman"/>
          <w:kern w:val="2"/>
          <w:sz w:val="32"/>
          <w:szCs w:val="24"/>
          <w:lang w:val="en-US" w:eastAsia="zh-CN" w:bidi="ar-SA"/>
        </w:rPr>
        <w:t>万元，占</w:t>
      </w:r>
      <w:r>
        <w:rPr>
          <w:rFonts w:hint="eastAsia" w:cs="Times New Roman"/>
          <w:kern w:val="2"/>
          <w:sz w:val="32"/>
          <w:szCs w:val="24"/>
          <w:lang w:val="en-US" w:eastAsia="zh-CN" w:bidi="ar-SA"/>
        </w:rPr>
        <w:t>11.50</w:t>
      </w:r>
      <w:r>
        <w:rPr>
          <w:rFonts w:hint="eastAsia" w:ascii="Times New Roman" w:hAnsi="Times New Roman" w:eastAsia="仿宋_GB2312" w:cs="Times New Roman"/>
          <w:kern w:val="2"/>
          <w:sz w:val="32"/>
          <w:szCs w:val="24"/>
          <w:lang w:val="en-US" w:eastAsia="zh-CN" w:bidi="ar-SA"/>
        </w:rPr>
        <w:t>%；上缴上级支出</w:t>
      </w:r>
      <w:r>
        <w:rPr>
          <w:rFonts w:hint="eastAsia" w:cs="Times New Roman"/>
          <w:kern w:val="2"/>
          <w:sz w:val="32"/>
          <w:szCs w:val="24"/>
          <w:lang w:val="en-US" w:eastAsia="zh-CN" w:bidi="ar-SA"/>
        </w:rPr>
        <w:t>0.00</w:t>
      </w:r>
      <w:r>
        <w:rPr>
          <w:rFonts w:hint="eastAsia" w:ascii="Times New Roman" w:hAnsi="Times New Roman" w:eastAsia="仿宋_GB2312" w:cs="Times New Roman"/>
          <w:kern w:val="2"/>
          <w:sz w:val="32"/>
          <w:szCs w:val="24"/>
          <w:lang w:val="en-US" w:eastAsia="zh-CN" w:bidi="ar-SA"/>
        </w:rPr>
        <w:t>万元，占</w:t>
      </w:r>
      <w:r>
        <w:rPr>
          <w:rFonts w:hint="eastAsia" w:cs="Times New Roman"/>
          <w:kern w:val="2"/>
          <w:sz w:val="32"/>
          <w:szCs w:val="24"/>
          <w:lang w:val="en-US" w:eastAsia="zh-CN" w:bidi="ar-SA"/>
        </w:rPr>
        <w:t>0.00</w:t>
      </w:r>
      <w:r>
        <w:rPr>
          <w:rFonts w:hint="eastAsia" w:ascii="Times New Roman" w:hAnsi="Times New Roman" w:eastAsia="仿宋_GB2312" w:cs="Times New Roman"/>
          <w:kern w:val="2"/>
          <w:sz w:val="32"/>
          <w:szCs w:val="24"/>
          <w:lang w:val="en-US" w:eastAsia="zh-CN" w:bidi="ar-SA"/>
        </w:rPr>
        <w:t>%；经营支出</w:t>
      </w:r>
      <w:r>
        <w:rPr>
          <w:rFonts w:hint="eastAsia" w:cs="Times New Roman"/>
          <w:kern w:val="2"/>
          <w:sz w:val="32"/>
          <w:szCs w:val="24"/>
          <w:lang w:val="en-US" w:eastAsia="zh-CN" w:bidi="ar-SA"/>
        </w:rPr>
        <w:t>0.00</w:t>
      </w:r>
      <w:r>
        <w:rPr>
          <w:rFonts w:hint="eastAsia" w:ascii="Times New Roman" w:hAnsi="Times New Roman" w:eastAsia="仿宋_GB2312" w:cs="Times New Roman"/>
          <w:kern w:val="2"/>
          <w:sz w:val="32"/>
          <w:szCs w:val="24"/>
          <w:lang w:val="en-US" w:eastAsia="zh-CN" w:bidi="ar-SA"/>
        </w:rPr>
        <w:t>万元，占</w:t>
      </w:r>
      <w:r>
        <w:rPr>
          <w:rFonts w:hint="eastAsia" w:cs="Times New Roman"/>
          <w:kern w:val="2"/>
          <w:sz w:val="32"/>
          <w:szCs w:val="24"/>
          <w:lang w:val="en-US" w:eastAsia="zh-CN" w:bidi="ar-SA"/>
        </w:rPr>
        <w:t>0.00</w:t>
      </w:r>
      <w:r>
        <w:rPr>
          <w:rFonts w:hint="eastAsia" w:ascii="Times New Roman" w:hAnsi="Times New Roman" w:eastAsia="仿宋_GB2312" w:cs="Times New Roman"/>
          <w:kern w:val="2"/>
          <w:sz w:val="32"/>
          <w:szCs w:val="24"/>
          <w:lang w:val="en-US" w:eastAsia="zh-CN" w:bidi="ar-SA"/>
        </w:rPr>
        <w:t>%；对附属单位补助支出</w:t>
      </w:r>
      <w:r>
        <w:rPr>
          <w:rFonts w:hint="eastAsia" w:cs="Times New Roman"/>
          <w:kern w:val="2"/>
          <w:sz w:val="32"/>
          <w:szCs w:val="24"/>
          <w:lang w:val="en-US" w:eastAsia="zh-CN" w:bidi="ar-SA"/>
        </w:rPr>
        <w:t>0.00</w:t>
      </w:r>
      <w:r>
        <w:rPr>
          <w:rFonts w:hint="eastAsia" w:ascii="Times New Roman" w:hAnsi="Times New Roman" w:eastAsia="仿宋_GB2312" w:cs="Times New Roman"/>
          <w:kern w:val="2"/>
          <w:sz w:val="32"/>
          <w:szCs w:val="24"/>
          <w:lang w:val="en-US" w:eastAsia="zh-CN" w:bidi="ar-SA"/>
        </w:rPr>
        <w:t>万元，占</w:t>
      </w:r>
      <w:r>
        <w:rPr>
          <w:rFonts w:hint="eastAsia" w:cs="Times New Roman"/>
          <w:kern w:val="2"/>
          <w:sz w:val="32"/>
          <w:szCs w:val="24"/>
          <w:lang w:val="en-US" w:eastAsia="zh-CN" w:bidi="ar-SA"/>
        </w:rPr>
        <w:t>0.00</w:t>
      </w:r>
      <w:r>
        <w:rPr>
          <w:rFonts w:hint="eastAsia" w:ascii="Times New Roman" w:hAnsi="Times New Roman" w:eastAsia="仿宋_GB2312" w:cs="Times New Roman"/>
          <w:kern w:val="2"/>
          <w:sz w:val="32"/>
          <w:szCs w:val="24"/>
          <w:lang w:val="en-US" w:eastAsia="zh-CN" w:bidi="ar-SA"/>
        </w:rPr>
        <w:t>%。</w:t>
      </w:r>
    </w:p>
    <w:p w14:paraId="549AAA44">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drawing>
          <wp:anchor distT="0" distB="0" distL="114300" distR="114300" simplePos="0" relativeHeight="251663360" behindDoc="0" locked="0" layoutInCell="1" allowOverlap="1">
            <wp:simplePos x="0" y="0"/>
            <wp:positionH relativeFrom="column">
              <wp:posOffset>249555</wp:posOffset>
            </wp:positionH>
            <wp:positionV relativeFrom="paragraph">
              <wp:posOffset>52070</wp:posOffset>
            </wp:positionV>
            <wp:extent cx="4809490" cy="2522855"/>
            <wp:effectExtent l="4445" t="4445" r="5715" b="6350"/>
            <wp:wrapNone/>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7A2FF08F">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lang w:eastAsia="zh-CN"/>
        </w:rPr>
      </w:pPr>
    </w:p>
    <w:p w14:paraId="62439AA2">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lang w:eastAsia="zh-CN"/>
        </w:rPr>
      </w:pPr>
    </w:p>
    <w:p w14:paraId="4DA00FBE">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lang w:eastAsia="zh-CN"/>
        </w:rPr>
      </w:pPr>
    </w:p>
    <w:p w14:paraId="7F8C10EE">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lang w:eastAsia="zh-CN"/>
        </w:rPr>
      </w:pPr>
    </w:p>
    <w:p w14:paraId="3EB1E027">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lang w:eastAsia="zh-CN"/>
        </w:rPr>
      </w:pPr>
    </w:p>
    <w:p w14:paraId="79F7E60D">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lang w:eastAsia="zh-CN"/>
        </w:rPr>
      </w:pPr>
    </w:p>
    <w:p w14:paraId="734DA9F0">
      <w:pPr>
        <w:pageBreakBefore w:val="0"/>
        <w:kinsoku/>
        <w:wordWrap/>
        <w:overflowPunct/>
        <w:topLinePunct w:val="0"/>
        <w:bidi w:val="0"/>
        <w:spacing w:line="560" w:lineRule="exact"/>
        <w:ind w:firstLine="640" w:firstLineChars="200"/>
        <w:jc w:val="center"/>
        <w:textAlignment w:val="auto"/>
        <w:rPr>
          <w:rFonts w:ascii="仿宋_GB2312" w:eastAsia="仿宋_GB2312"/>
          <w:color w:val="FF0000"/>
          <w:sz w:val="32"/>
          <w:szCs w:val="32"/>
        </w:rPr>
      </w:pPr>
      <w:r>
        <w:rPr>
          <w:rFonts w:hint="eastAsia" w:ascii="仿宋_GB2312" w:hAnsi="仿宋_GB2312" w:eastAsia="仿宋_GB2312" w:cs="仿宋_GB2312"/>
          <w:color w:val="000000"/>
          <w:sz w:val="32"/>
          <w:szCs w:val="32"/>
        </w:rPr>
        <w:t>（图</w:t>
      </w:r>
      <w:r>
        <w:rPr>
          <w:rFonts w:hint="eastAsia" w:cs="Times New Roman"/>
          <w:color w:val="auto"/>
          <w:sz w:val="32"/>
          <w:szCs w:val="32"/>
          <w:highlight w:val="none"/>
          <w:lang w:val="en-US" w:eastAsia="zh-CN"/>
        </w:rPr>
        <w:t>3</w:t>
      </w:r>
      <w:r>
        <w:rPr>
          <w:rFonts w:hint="eastAsia" w:ascii="仿宋_GB2312" w:hAnsi="仿宋_GB2312" w:eastAsia="仿宋_GB2312" w:cs="仿宋_GB2312"/>
          <w:color w:val="000000"/>
          <w:sz w:val="32"/>
          <w:szCs w:val="32"/>
        </w:rPr>
        <w:t>：支出决算结构图）</w:t>
      </w:r>
    </w:p>
    <w:p w14:paraId="63BFBD08">
      <w:pPr>
        <w:pageBreakBefore w:val="0"/>
        <w:kinsoku/>
        <w:wordWrap/>
        <w:overflowPunct/>
        <w:topLinePunct w:val="0"/>
        <w:bidi w:val="0"/>
        <w:spacing w:line="560" w:lineRule="exact"/>
        <w:ind w:firstLine="640" w:firstLineChars="200"/>
        <w:textAlignment w:val="auto"/>
        <w:outlineLvl w:val="1"/>
        <w:rPr>
          <w:rStyle w:val="19"/>
          <w:rFonts w:ascii="黑体" w:hAnsi="黑体" w:eastAsia="黑体"/>
          <w:b w:val="0"/>
        </w:rPr>
      </w:pPr>
      <w:bookmarkStart w:id="19" w:name="_Toc23551"/>
      <w:bookmarkStart w:id="20" w:name="_Toc15396606"/>
      <w:bookmarkStart w:id="21" w:name="_Toc15377208"/>
      <w:r>
        <w:rPr>
          <w:rFonts w:hint="eastAsia" w:ascii="黑体" w:hAnsi="黑体" w:eastAsia="黑体"/>
          <w:color w:val="000000"/>
          <w:sz w:val="32"/>
          <w:szCs w:val="32"/>
        </w:rPr>
        <w:t>四、财</w:t>
      </w:r>
      <w:r>
        <w:rPr>
          <w:rStyle w:val="19"/>
          <w:rFonts w:hint="eastAsia" w:ascii="黑体" w:hAnsi="黑体" w:eastAsia="黑体"/>
          <w:b w:val="0"/>
        </w:rPr>
        <w:t>政拨款收入支出决算总体情况说明</w:t>
      </w:r>
      <w:bookmarkEnd w:id="19"/>
      <w:bookmarkEnd w:id="20"/>
      <w:bookmarkEnd w:id="21"/>
    </w:p>
    <w:p w14:paraId="4F38A1A2">
      <w:pPr>
        <w:pageBreakBefore w:val="0"/>
        <w:kinsoku/>
        <w:wordWrap/>
        <w:overflowPunct/>
        <w:topLinePunct w:val="0"/>
        <w:bidi w:val="0"/>
        <w:spacing w:line="560" w:lineRule="exact"/>
        <w:ind w:firstLine="640" w:firstLineChars="200"/>
        <w:textAlignment w:val="auto"/>
        <w:rPr>
          <w:rFonts w:hint="eastAsia" w:ascii="Times New Roman" w:hAnsi="Times New Roman" w:cs="Times New Roman"/>
          <w:color w:val="auto"/>
          <w:sz w:val="32"/>
          <w:szCs w:val="32"/>
          <w:highlight w:val="none"/>
          <w:lang w:val="en-US" w:eastAsia="zh-CN"/>
        </w:rPr>
      </w:pPr>
      <w:r>
        <w:rPr>
          <w:rFonts w:hint="default" w:ascii="Times New Roman" w:hAnsi="Times New Roman" w:cs="Times New Roman"/>
          <w:color w:val="auto"/>
          <w:sz w:val="32"/>
          <w:szCs w:val="32"/>
          <w:highlight w:val="none"/>
          <w:lang w:eastAsia="zh-CN"/>
        </w:rPr>
        <w:t>2023</w:t>
      </w:r>
      <w:r>
        <w:rPr>
          <w:rFonts w:hint="eastAsia" w:ascii="仿宋_GB2312" w:hAnsi="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rPr>
        <w:t>财政拨款收、支</w:t>
      </w:r>
      <w:r>
        <w:rPr>
          <w:rFonts w:hint="eastAsia" w:ascii="Times New Roman" w:hAnsi="Times New Roman" w:cs="Times New Roman"/>
          <w:color w:val="auto"/>
          <w:sz w:val="32"/>
          <w:szCs w:val="32"/>
          <w:highlight w:val="none"/>
          <w:lang w:eastAsia="zh-CN"/>
        </w:rPr>
        <w:t>总计</w:t>
      </w:r>
      <w:r>
        <w:rPr>
          <w:rFonts w:hint="eastAsia" w:ascii="Times New Roman" w:hAnsi="Times New Roman" w:cs="Times New Roman"/>
          <w:color w:val="auto"/>
          <w:sz w:val="32"/>
          <w:szCs w:val="32"/>
          <w:highlight w:val="none"/>
          <w:lang w:val="en-US" w:eastAsia="zh-CN"/>
        </w:rPr>
        <w:t>1282.03</w:t>
      </w:r>
      <w:r>
        <w:rPr>
          <w:rFonts w:hint="eastAsia" w:ascii="Times New Roman" w:hAnsi="Times New Roman" w:cs="Times New Roman"/>
          <w:color w:val="auto"/>
          <w:sz w:val="32"/>
          <w:szCs w:val="32"/>
          <w:highlight w:val="none"/>
          <w:lang w:eastAsia="zh-CN"/>
        </w:rPr>
        <w:t>万元</w:t>
      </w:r>
      <w:r>
        <w:rPr>
          <w:rFonts w:hint="eastAsia" w:cs="Times New Roman"/>
          <w:color w:val="auto"/>
          <w:sz w:val="32"/>
          <w:szCs w:val="32"/>
          <w:highlight w:val="none"/>
          <w:lang w:eastAsia="zh-CN"/>
        </w:rPr>
        <w:t>，</w:t>
      </w:r>
      <w:r>
        <w:rPr>
          <w:rFonts w:hint="eastAsia" w:ascii="Times New Roman" w:hAnsi="Times New Roman" w:cs="Times New Roman"/>
          <w:color w:val="auto"/>
          <w:sz w:val="32"/>
          <w:szCs w:val="32"/>
          <w:highlight w:val="none"/>
          <w:lang w:eastAsia="zh-CN"/>
        </w:rPr>
        <w:t>与</w:t>
      </w:r>
      <w:r>
        <w:rPr>
          <w:rFonts w:hint="default" w:ascii="Times New Roman" w:hAnsi="Times New Roman" w:cs="Times New Roman"/>
          <w:color w:val="auto"/>
          <w:sz w:val="32"/>
          <w:szCs w:val="32"/>
          <w:highlight w:val="none"/>
          <w:lang w:eastAsia="zh-CN"/>
        </w:rPr>
        <w:t>2022</w:t>
      </w:r>
      <w:r>
        <w:rPr>
          <w:rFonts w:hint="eastAsia" w:ascii="Times New Roman" w:hAnsi="Times New Roman" w:cs="Times New Roman"/>
          <w:color w:val="auto"/>
          <w:sz w:val="32"/>
          <w:szCs w:val="32"/>
          <w:highlight w:val="none"/>
          <w:lang w:eastAsia="zh-CN"/>
        </w:rPr>
        <w:t>年相比，财政拨款收、支总计各减少</w:t>
      </w:r>
      <w:r>
        <w:rPr>
          <w:rFonts w:hint="eastAsia" w:cs="Times New Roman"/>
          <w:color w:val="auto"/>
          <w:sz w:val="32"/>
          <w:szCs w:val="32"/>
          <w:highlight w:val="none"/>
          <w:lang w:val="en-US" w:eastAsia="zh-CN"/>
        </w:rPr>
        <w:t>31</w:t>
      </w:r>
      <w:r>
        <w:rPr>
          <w:rFonts w:hint="eastAsia" w:ascii="Times New Roman" w:hAnsi="Times New Roman" w:cs="Times New Roman"/>
          <w:color w:val="auto"/>
          <w:sz w:val="32"/>
          <w:szCs w:val="32"/>
          <w:highlight w:val="none"/>
          <w:lang w:eastAsia="zh-CN"/>
        </w:rPr>
        <w:t>万元，下降</w:t>
      </w:r>
      <w:r>
        <w:rPr>
          <w:rFonts w:hint="eastAsia" w:cs="Times New Roman"/>
          <w:color w:val="auto"/>
          <w:sz w:val="32"/>
          <w:szCs w:val="32"/>
          <w:highlight w:val="none"/>
          <w:lang w:val="en-US" w:eastAsia="zh-CN"/>
        </w:rPr>
        <w:t>2.36</w:t>
      </w:r>
      <w:r>
        <w:rPr>
          <w:rFonts w:hint="eastAsia" w:ascii="Times New Roman" w:hAnsi="Times New Roman" w:cs="Times New Roman"/>
          <w:color w:val="auto"/>
          <w:sz w:val="32"/>
          <w:szCs w:val="32"/>
          <w:highlight w:val="none"/>
          <w:lang w:eastAsia="zh-CN"/>
        </w:rPr>
        <w:t>%。主要变动原因是</w:t>
      </w:r>
      <w:r>
        <w:rPr>
          <w:rFonts w:hint="eastAsia" w:ascii="Times New Roman" w:hAnsi="Times New Roman" w:cs="Times New Roman"/>
          <w:color w:val="auto"/>
          <w:sz w:val="32"/>
          <w:szCs w:val="32"/>
          <w:highlight w:val="none"/>
          <w:lang w:val="en-US" w:eastAsia="zh-CN"/>
        </w:rPr>
        <w:t>2023年我院严格落实厉行节约政策，进一步压减“三公”经费</w:t>
      </w:r>
      <w:r>
        <w:rPr>
          <w:rFonts w:hint="eastAsia" w:cs="Times New Roman"/>
          <w:color w:val="auto"/>
          <w:sz w:val="32"/>
          <w:szCs w:val="32"/>
          <w:highlight w:val="none"/>
          <w:lang w:val="en-US" w:eastAsia="zh-CN"/>
        </w:rPr>
        <w:t>和办公费用</w:t>
      </w:r>
      <w:r>
        <w:rPr>
          <w:rFonts w:hint="eastAsia" w:ascii="Times New Roman" w:hAnsi="Times New Roman" w:cs="Times New Roman"/>
          <w:color w:val="auto"/>
          <w:sz w:val="32"/>
          <w:szCs w:val="32"/>
          <w:highlight w:val="none"/>
          <w:lang w:val="en-US" w:eastAsia="zh-CN"/>
        </w:rPr>
        <w:t>支出；2023年</w:t>
      </w:r>
      <w:r>
        <w:rPr>
          <w:rFonts w:hint="eastAsia" w:cs="Times New Roman"/>
          <w:color w:val="auto"/>
          <w:sz w:val="32"/>
          <w:szCs w:val="32"/>
          <w:highlight w:val="none"/>
          <w:lang w:val="en-US" w:eastAsia="zh-CN"/>
        </w:rPr>
        <w:t>规范津贴和绩效</w:t>
      </w:r>
      <w:r>
        <w:rPr>
          <w:rFonts w:hint="eastAsia" w:ascii="Times New Roman" w:hAnsi="Times New Roman" w:cs="Times New Roman"/>
          <w:color w:val="auto"/>
          <w:sz w:val="32"/>
          <w:szCs w:val="32"/>
          <w:highlight w:val="none"/>
          <w:lang w:val="en-US" w:eastAsia="zh-CN"/>
        </w:rPr>
        <w:t>减少，导致人员经费</w:t>
      </w:r>
      <w:r>
        <w:rPr>
          <w:rFonts w:hint="eastAsia" w:cs="Times New Roman"/>
          <w:color w:val="auto"/>
          <w:sz w:val="32"/>
          <w:szCs w:val="32"/>
          <w:highlight w:val="none"/>
          <w:lang w:val="en-US" w:eastAsia="zh-CN"/>
        </w:rPr>
        <w:t>支出</w:t>
      </w:r>
      <w:r>
        <w:rPr>
          <w:rFonts w:hint="eastAsia" w:ascii="Times New Roman" w:hAnsi="Times New Roman" w:cs="Times New Roman"/>
          <w:color w:val="auto"/>
          <w:sz w:val="32"/>
          <w:szCs w:val="32"/>
          <w:highlight w:val="none"/>
          <w:lang w:val="en-US" w:eastAsia="zh-CN"/>
        </w:rPr>
        <w:t>整体下降。</w:t>
      </w:r>
    </w:p>
    <w:p w14:paraId="2A59BE34">
      <w:pPr>
        <w:pageBreakBefore w:val="0"/>
        <w:kinsoku/>
        <w:wordWrap/>
        <w:overflowPunct/>
        <w:topLinePunct w:val="0"/>
        <w:bidi w:val="0"/>
        <w:spacing w:line="560" w:lineRule="exact"/>
        <w:ind w:firstLine="640"/>
        <w:textAlignment w:val="auto"/>
        <w:rPr>
          <w:rFonts w:hint="eastAsia" w:ascii="仿宋" w:hAnsi="仿宋" w:eastAsia="仿宋"/>
          <w:b/>
          <w:color w:val="FF0000"/>
          <w:sz w:val="32"/>
          <w:szCs w:val="32"/>
          <w:lang w:eastAsia="zh-CN"/>
        </w:rPr>
      </w:pPr>
      <w:r>
        <w:rPr>
          <w:rFonts w:hint="eastAsia" w:ascii="仿宋" w:hAnsi="仿宋" w:eastAsia="仿宋"/>
          <w:b/>
          <w:color w:val="FF0000"/>
          <w:sz w:val="32"/>
          <w:szCs w:val="32"/>
          <w:lang w:eastAsia="zh-CN"/>
        </w:rPr>
        <w:drawing>
          <wp:anchor distT="0" distB="0" distL="114300" distR="114300" simplePos="0" relativeHeight="251664384" behindDoc="0" locked="0" layoutInCell="1" allowOverlap="1">
            <wp:simplePos x="0" y="0"/>
            <wp:positionH relativeFrom="column">
              <wp:posOffset>259080</wp:posOffset>
            </wp:positionH>
            <wp:positionV relativeFrom="paragraph">
              <wp:posOffset>71120</wp:posOffset>
            </wp:positionV>
            <wp:extent cx="4752340" cy="2409190"/>
            <wp:effectExtent l="4445" t="4445" r="5715" b="5715"/>
            <wp:wrapNone/>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6FA4E4CE">
      <w:pPr>
        <w:pageBreakBefore w:val="0"/>
        <w:kinsoku/>
        <w:wordWrap/>
        <w:overflowPunct/>
        <w:topLinePunct w:val="0"/>
        <w:bidi w:val="0"/>
        <w:spacing w:line="560" w:lineRule="exact"/>
        <w:ind w:firstLine="640"/>
        <w:textAlignment w:val="auto"/>
        <w:rPr>
          <w:rFonts w:hint="eastAsia" w:ascii="仿宋" w:hAnsi="仿宋" w:eastAsia="仿宋"/>
          <w:b/>
          <w:color w:val="FF0000"/>
          <w:sz w:val="32"/>
          <w:szCs w:val="32"/>
          <w:lang w:eastAsia="zh-CN"/>
        </w:rPr>
      </w:pPr>
    </w:p>
    <w:p w14:paraId="5C5AC9B4">
      <w:pPr>
        <w:pageBreakBefore w:val="0"/>
        <w:kinsoku/>
        <w:wordWrap/>
        <w:overflowPunct/>
        <w:topLinePunct w:val="0"/>
        <w:bidi w:val="0"/>
        <w:spacing w:line="560" w:lineRule="exact"/>
        <w:ind w:firstLine="640"/>
        <w:textAlignment w:val="auto"/>
        <w:rPr>
          <w:rFonts w:hint="eastAsia" w:ascii="仿宋" w:hAnsi="仿宋" w:eastAsia="仿宋"/>
          <w:b/>
          <w:color w:val="FF0000"/>
          <w:sz w:val="32"/>
          <w:szCs w:val="32"/>
          <w:lang w:eastAsia="zh-CN"/>
        </w:rPr>
      </w:pPr>
    </w:p>
    <w:p w14:paraId="09EE7548">
      <w:pPr>
        <w:pageBreakBefore w:val="0"/>
        <w:kinsoku/>
        <w:wordWrap/>
        <w:overflowPunct/>
        <w:topLinePunct w:val="0"/>
        <w:bidi w:val="0"/>
        <w:spacing w:line="560" w:lineRule="exact"/>
        <w:ind w:firstLine="640"/>
        <w:textAlignment w:val="auto"/>
        <w:rPr>
          <w:rFonts w:hint="eastAsia" w:ascii="仿宋" w:hAnsi="仿宋" w:eastAsia="仿宋"/>
          <w:b/>
          <w:color w:val="FF0000"/>
          <w:sz w:val="32"/>
          <w:szCs w:val="32"/>
          <w:lang w:eastAsia="zh-CN"/>
        </w:rPr>
      </w:pPr>
    </w:p>
    <w:p w14:paraId="28C73292">
      <w:pPr>
        <w:pageBreakBefore w:val="0"/>
        <w:kinsoku/>
        <w:wordWrap/>
        <w:overflowPunct/>
        <w:topLinePunct w:val="0"/>
        <w:bidi w:val="0"/>
        <w:spacing w:line="560" w:lineRule="exact"/>
        <w:ind w:firstLine="640"/>
        <w:textAlignment w:val="auto"/>
        <w:rPr>
          <w:rFonts w:hint="eastAsia" w:ascii="仿宋" w:hAnsi="仿宋" w:eastAsia="仿宋"/>
          <w:b/>
          <w:color w:val="FF0000"/>
          <w:sz w:val="32"/>
          <w:szCs w:val="32"/>
          <w:lang w:eastAsia="zh-CN"/>
        </w:rPr>
      </w:pPr>
    </w:p>
    <w:p w14:paraId="4E65EE8D">
      <w:pPr>
        <w:pageBreakBefore w:val="0"/>
        <w:kinsoku/>
        <w:wordWrap/>
        <w:overflowPunct/>
        <w:topLinePunct w:val="0"/>
        <w:bidi w:val="0"/>
        <w:spacing w:line="560" w:lineRule="exact"/>
        <w:ind w:firstLine="640"/>
        <w:textAlignment w:val="auto"/>
        <w:rPr>
          <w:rFonts w:hint="eastAsia" w:ascii="仿宋" w:hAnsi="仿宋" w:eastAsia="仿宋"/>
          <w:b/>
          <w:color w:val="FF0000"/>
          <w:sz w:val="32"/>
          <w:szCs w:val="32"/>
          <w:lang w:eastAsia="zh-CN"/>
        </w:rPr>
      </w:pPr>
    </w:p>
    <w:p w14:paraId="5C565823">
      <w:pPr>
        <w:pageBreakBefore w:val="0"/>
        <w:kinsoku/>
        <w:wordWrap/>
        <w:overflowPunct/>
        <w:topLinePunct w:val="0"/>
        <w:bidi w:val="0"/>
        <w:spacing w:line="560" w:lineRule="exact"/>
        <w:ind w:firstLine="640"/>
        <w:textAlignment w:val="auto"/>
        <w:rPr>
          <w:rFonts w:hint="eastAsia" w:ascii="仿宋" w:hAnsi="仿宋" w:eastAsia="仿宋"/>
          <w:b/>
          <w:color w:val="FF0000"/>
          <w:sz w:val="32"/>
          <w:szCs w:val="32"/>
          <w:lang w:eastAsia="zh-CN"/>
        </w:rPr>
      </w:pPr>
    </w:p>
    <w:p w14:paraId="63378A68">
      <w:pPr>
        <w:pageBreakBefore w:val="0"/>
        <w:kinsoku/>
        <w:wordWrap/>
        <w:overflowPunct/>
        <w:topLinePunct w:val="0"/>
        <w:bidi w:val="0"/>
        <w:spacing w:line="560" w:lineRule="exact"/>
        <w:jc w:val="center"/>
        <w:textAlignment w:val="auto"/>
        <w:rPr>
          <w:rFonts w:ascii="仿宋" w:hAnsi="仿宋" w:eastAsia="仿宋"/>
          <w:b/>
          <w:color w:val="00B050"/>
          <w:sz w:val="32"/>
          <w:szCs w:val="32"/>
        </w:rPr>
      </w:pPr>
      <w:r>
        <w:rPr>
          <w:rFonts w:hint="eastAsia" w:ascii="仿宋_GB2312" w:hAnsi="仿宋_GB2312" w:eastAsia="仿宋_GB2312" w:cs="仿宋_GB2312"/>
          <w:color w:val="000000"/>
          <w:sz w:val="32"/>
          <w:szCs w:val="32"/>
        </w:rPr>
        <w:t>（图</w:t>
      </w:r>
      <w:r>
        <w:rPr>
          <w:rFonts w:hint="eastAsia" w:ascii="Times New Roman" w:hAnsi="Times New Roman" w:cs="Times New Roman"/>
          <w:color w:val="auto"/>
          <w:sz w:val="32"/>
          <w:szCs w:val="32"/>
          <w:highlight w:val="none"/>
          <w:lang w:val="en-US" w:eastAsia="zh-CN"/>
        </w:rPr>
        <w:t>4</w:t>
      </w:r>
      <w:r>
        <w:rPr>
          <w:rFonts w:hint="eastAsia" w:ascii="仿宋_GB2312" w:hAnsi="仿宋_GB2312" w:eastAsia="仿宋_GB2312" w:cs="仿宋_GB2312"/>
          <w:color w:val="000000"/>
          <w:sz w:val="32"/>
          <w:szCs w:val="32"/>
        </w:rPr>
        <w:t>：财政拨款收、支决算总计变动情况）</w:t>
      </w:r>
    </w:p>
    <w:p w14:paraId="3A6A69AB">
      <w:pPr>
        <w:pageBreakBefore w:val="0"/>
        <w:kinsoku/>
        <w:wordWrap/>
        <w:overflowPunct/>
        <w:topLinePunct w:val="0"/>
        <w:bidi w:val="0"/>
        <w:spacing w:line="560" w:lineRule="exact"/>
        <w:ind w:firstLine="640" w:firstLineChars="200"/>
        <w:textAlignment w:val="auto"/>
        <w:outlineLvl w:val="1"/>
        <w:rPr>
          <w:rStyle w:val="19"/>
          <w:rFonts w:ascii="黑体" w:hAnsi="黑体" w:eastAsia="黑体"/>
          <w:b w:val="0"/>
        </w:rPr>
      </w:pPr>
      <w:bookmarkStart w:id="22" w:name="_Toc15377209"/>
      <w:bookmarkStart w:id="23" w:name="_Toc7507"/>
      <w:bookmarkStart w:id="24"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9"/>
          <w:rFonts w:hint="eastAsia" w:ascii="黑体" w:hAnsi="黑体" w:eastAsia="黑体"/>
          <w:b w:val="0"/>
        </w:rPr>
        <w:t>般公共预算财政拨款支出决算情况说明</w:t>
      </w:r>
      <w:bookmarkEnd w:id="22"/>
      <w:bookmarkEnd w:id="23"/>
      <w:bookmarkEnd w:id="24"/>
    </w:p>
    <w:p w14:paraId="494A07C6">
      <w:pPr>
        <w:pageBreakBefore w:val="0"/>
        <w:kinsoku/>
        <w:wordWrap/>
        <w:overflowPunct/>
        <w:topLinePunct w:val="0"/>
        <w:bidi w:val="0"/>
        <w:spacing w:line="560" w:lineRule="exact"/>
        <w:ind w:firstLine="643" w:firstLineChars="200"/>
        <w:textAlignment w:val="auto"/>
        <w:outlineLvl w:val="2"/>
        <w:rPr>
          <w:rFonts w:ascii="仿宋" w:hAnsi="仿宋" w:eastAsia="仿宋"/>
          <w:b/>
          <w:color w:val="000000"/>
          <w:sz w:val="32"/>
          <w:szCs w:val="32"/>
        </w:rPr>
      </w:pPr>
      <w:bookmarkStart w:id="25" w:name="_Toc15377210"/>
      <w:r>
        <w:rPr>
          <w:rFonts w:hint="eastAsia" w:ascii="仿宋" w:hAnsi="仿宋" w:eastAsia="仿宋"/>
          <w:b/>
          <w:color w:val="000000"/>
          <w:sz w:val="32"/>
          <w:szCs w:val="32"/>
        </w:rPr>
        <w:t>（一）一般公共预算财政拨款支出决算总体情况</w:t>
      </w:r>
      <w:bookmarkEnd w:id="25"/>
    </w:p>
    <w:p w14:paraId="57B9ACAA">
      <w:pPr>
        <w:pageBreakBefore w:val="0"/>
        <w:kinsoku/>
        <w:wordWrap/>
        <w:overflowPunct/>
        <w:topLinePunct w:val="0"/>
        <w:bidi w:val="0"/>
        <w:spacing w:line="560" w:lineRule="exact"/>
        <w:ind w:firstLine="640" w:firstLineChars="200"/>
        <w:textAlignment w:val="auto"/>
        <w:rPr>
          <w:rFonts w:hint="eastAsia"/>
          <w:lang w:eastAsia="zh-CN"/>
        </w:rPr>
      </w:pPr>
      <w:r>
        <w:rPr>
          <w:rFonts w:hint="default" w:ascii="Times New Roman" w:hAnsi="Times New Roman" w:cs="Times New Roman"/>
          <w:color w:val="auto"/>
          <w:sz w:val="32"/>
          <w:szCs w:val="32"/>
          <w:highlight w:val="none"/>
          <w:lang w:eastAsia="zh-CN"/>
        </w:rPr>
        <w:t>2023</w:t>
      </w:r>
      <w:r>
        <w:rPr>
          <w:rFonts w:hint="eastAsia" w:ascii="仿宋_GB2312" w:hAnsi="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rPr>
        <w:t>一般公共预算财政拨款支出</w:t>
      </w:r>
      <w:r>
        <w:rPr>
          <w:rFonts w:hint="eastAsia" w:ascii="Times New Roman" w:hAnsi="Times New Roman" w:cs="Times New Roman"/>
          <w:color w:val="auto"/>
          <w:sz w:val="32"/>
          <w:szCs w:val="32"/>
          <w:highlight w:val="none"/>
          <w:lang w:val="en-US" w:eastAsia="zh-CN"/>
        </w:rPr>
        <w:t>1282.03</w:t>
      </w:r>
      <w:r>
        <w:rPr>
          <w:rFonts w:hint="eastAsia" w:ascii="Times New Roman" w:hAnsi="Times New Roman" w:cs="Times New Roman"/>
          <w:color w:val="auto"/>
          <w:sz w:val="32"/>
          <w:szCs w:val="32"/>
          <w:highlight w:val="none"/>
          <w:lang w:eastAsia="zh-CN"/>
        </w:rPr>
        <w:t>万元，占本年支出合计的</w:t>
      </w:r>
      <w:r>
        <w:rPr>
          <w:rFonts w:hint="eastAsia" w:cs="Times New Roman"/>
          <w:color w:val="auto"/>
          <w:sz w:val="32"/>
          <w:szCs w:val="32"/>
          <w:highlight w:val="none"/>
          <w:lang w:val="en-US" w:eastAsia="zh-CN"/>
        </w:rPr>
        <w:t>69.65</w:t>
      </w:r>
      <w:r>
        <w:rPr>
          <w:rFonts w:hint="eastAsia" w:ascii="Times New Roman" w:hAnsi="Times New Roman" w:cs="Times New Roman"/>
          <w:color w:val="auto"/>
          <w:sz w:val="32"/>
          <w:szCs w:val="32"/>
          <w:highlight w:val="none"/>
          <w:lang w:eastAsia="zh-CN"/>
        </w:rPr>
        <w:t>%。与2022年相比，一般公共预算财政拨款支出减少</w:t>
      </w:r>
      <w:r>
        <w:rPr>
          <w:rFonts w:hint="eastAsia" w:cs="Times New Roman"/>
          <w:color w:val="auto"/>
          <w:sz w:val="32"/>
          <w:szCs w:val="32"/>
          <w:highlight w:val="none"/>
          <w:lang w:val="en-US" w:eastAsia="zh-CN"/>
        </w:rPr>
        <w:t>31</w:t>
      </w:r>
      <w:r>
        <w:rPr>
          <w:rFonts w:hint="eastAsia" w:ascii="Times New Roman" w:hAnsi="Times New Roman" w:cs="Times New Roman"/>
          <w:color w:val="auto"/>
          <w:sz w:val="32"/>
          <w:szCs w:val="32"/>
          <w:highlight w:val="none"/>
          <w:lang w:eastAsia="zh-CN"/>
        </w:rPr>
        <w:t>万元，下降</w:t>
      </w:r>
      <w:r>
        <w:rPr>
          <w:rFonts w:hint="eastAsia" w:cs="Times New Roman"/>
          <w:color w:val="auto"/>
          <w:sz w:val="32"/>
          <w:szCs w:val="32"/>
          <w:highlight w:val="none"/>
          <w:lang w:val="en-US" w:eastAsia="zh-CN"/>
        </w:rPr>
        <w:t>2.36</w:t>
      </w:r>
      <w:r>
        <w:rPr>
          <w:rFonts w:hint="eastAsia" w:ascii="Times New Roman" w:hAnsi="Times New Roman" w:cs="Times New Roman"/>
          <w:color w:val="auto"/>
          <w:sz w:val="32"/>
          <w:szCs w:val="32"/>
          <w:highlight w:val="none"/>
          <w:lang w:eastAsia="zh-CN"/>
        </w:rPr>
        <w:t>%。主要变动原因是</w:t>
      </w:r>
      <w:r>
        <w:rPr>
          <w:rFonts w:hint="eastAsia" w:ascii="Times New Roman" w:hAnsi="Times New Roman" w:cs="Times New Roman"/>
          <w:color w:val="auto"/>
          <w:sz w:val="32"/>
          <w:szCs w:val="32"/>
          <w:highlight w:val="none"/>
          <w:lang w:val="en-US" w:eastAsia="zh-CN"/>
        </w:rPr>
        <w:t>2023年我院严格落实厉行节约政策，进一步压减“三公”经费</w:t>
      </w:r>
      <w:r>
        <w:rPr>
          <w:rFonts w:hint="eastAsia" w:cs="Times New Roman"/>
          <w:color w:val="auto"/>
          <w:sz w:val="32"/>
          <w:szCs w:val="32"/>
          <w:highlight w:val="none"/>
          <w:lang w:val="en-US" w:eastAsia="zh-CN"/>
        </w:rPr>
        <w:t>和办公费用</w:t>
      </w:r>
      <w:r>
        <w:rPr>
          <w:rFonts w:hint="eastAsia" w:ascii="Times New Roman" w:hAnsi="Times New Roman" w:cs="Times New Roman"/>
          <w:color w:val="auto"/>
          <w:sz w:val="32"/>
          <w:szCs w:val="32"/>
          <w:highlight w:val="none"/>
          <w:lang w:val="en-US" w:eastAsia="zh-CN"/>
        </w:rPr>
        <w:t>支出；2023年</w:t>
      </w:r>
      <w:r>
        <w:rPr>
          <w:rFonts w:hint="eastAsia" w:cs="Times New Roman"/>
          <w:color w:val="auto"/>
          <w:sz w:val="32"/>
          <w:szCs w:val="32"/>
          <w:highlight w:val="none"/>
          <w:lang w:val="en-US" w:eastAsia="zh-CN"/>
        </w:rPr>
        <w:t>规范津贴和绩效</w:t>
      </w:r>
      <w:r>
        <w:rPr>
          <w:rFonts w:hint="eastAsia" w:ascii="Times New Roman" w:hAnsi="Times New Roman" w:cs="Times New Roman"/>
          <w:color w:val="auto"/>
          <w:sz w:val="32"/>
          <w:szCs w:val="32"/>
          <w:highlight w:val="none"/>
          <w:lang w:val="en-US" w:eastAsia="zh-CN"/>
        </w:rPr>
        <w:t>减少，导致人员经费</w:t>
      </w:r>
      <w:r>
        <w:rPr>
          <w:rFonts w:hint="eastAsia" w:cs="Times New Roman"/>
          <w:color w:val="auto"/>
          <w:sz w:val="32"/>
          <w:szCs w:val="32"/>
          <w:highlight w:val="none"/>
          <w:lang w:val="en-US" w:eastAsia="zh-CN"/>
        </w:rPr>
        <w:t>支出</w:t>
      </w:r>
      <w:r>
        <w:rPr>
          <w:rFonts w:hint="eastAsia" w:ascii="Times New Roman" w:hAnsi="Times New Roman" w:cs="Times New Roman"/>
          <w:color w:val="auto"/>
          <w:sz w:val="32"/>
          <w:szCs w:val="32"/>
          <w:highlight w:val="none"/>
          <w:lang w:val="en-US" w:eastAsia="zh-CN"/>
        </w:rPr>
        <w:t>整体下降。</w:t>
      </w:r>
    </w:p>
    <w:p w14:paraId="29F959A2">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rPr>
      </w:pPr>
    </w:p>
    <w:p w14:paraId="0BD8DED7">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rPr>
      </w:pPr>
    </w:p>
    <w:p w14:paraId="3B00D11B">
      <w:pPr>
        <w:pStyle w:val="6"/>
        <w:pageBreakBefore w:val="0"/>
        <w:kinsoku/>
        <w:wordWrap/>
        <w:overflowPunct/>
        <w:topLinePunct w:val="0"/>
        <w:bidi w:val="0"/>
        <w:spacing w:line="560" w:lineRule="exact"/>
        <w:textAlignment w:val="auto"/>
        <w:rPr>
          <w:rFonts w:hint="eastAsia"/>
        </w:rPr>
      </w:pPr>
    </w:p>
    <w:p w14:paraId="1A09BC24">
      <w:pPr>
        <w:pStyle w:val="7"/>
        <w:rPr>
          <w:rFonts w:hint="eastAsia"/>
        </w:rPr>
      </w:pPr>
    </w:p>
    <w:p w14:paraId="7E252394">
      <w:pPr>
        <w:rPr>
          <w:rFonts w:hint="eastAsia"/>
        </w:rPr>
      </w:pPr>
      <w:r>
        <w:rPr>
          <w:rFonts w:hint="eastAsia" w:ascii="仿宋" w:hAnsi="仿宋" w:eastAsia="仿宋"/>
          <w:b/>
          <w:color w:val="FF0000"/>
          <w:sz w:val="32"/>
          <w:szCs w:val="32"/>
          <w:lang w:eastAsia="zh-CN"/>
        </w:rPr>
        <w:drawing>
          <wp:anchor distT="0" distB="0" distL="114300" distR="114300" simplePos="0" relativeHeight="251665408" behindDoc="0" locked="0" layoutInCell="1" allowOverlap="1">
            <wp:simplePos x="0" y="0"/>
            <wp:positionH relativeFrom="column">
              <wp:posOffset>410845</wp:posOffset>
            </wp:positionH>
            <wp:positionV relativeFrom="paragraph">
              <wp:posOffset>147320</wp:posOffset>
            </wp:positionV>
            <wp:extent cx="4218305" cy="2256790"/>
            <wp:effectExtent l="4445" t="4445" r="6350" b="5715"/>
            <wp:wrapNone/>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58B6A8B8">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rPr>
      </w:pPr>
    </w:p>
    <w:p w14:paraId="68050942">
      <w:pPr>
        <w:pageBreakBefore w:val="0"/>
        <w:kinsoku/>
        <w:wordWrap/>
        <w:overflowPunct/>
        <w:topLinePunct w:val="0"/>
        <w:bidi w:val="0"/>
        <w:spacing w:line="560" w:lineRule="exact"/>
        <w:textAlignment w:val="auto"/>
        <w:rPr>
          <w:rFonts w:hint="eastAsia" w:ascii="仿宋_GB2312" w:hAnsi="仿宋_GB2312" w:eastAsia="仿宋_GB2312" w:cs="仿宋_GB2312"/>
          <w:color w:val="000000"/>
          <w:sz w:val="32"/>
          <w:szCs w:val="32"/>
        </w:rPr>
      </w:pPr>
    </w:p>
    <w:p w14:paraId="382CA650">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rPr>
      </w:pPr>
    </w:p>
    <w:p w14:paraId="30747D23">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rPr>
      </w:pPr>
    </w:p>
    <w:p w14:paraId="7862269E">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rPr>
      </w:pPr>
    </w:p>
    <w:p w14:paraId="2E92411B">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000000"/>
          <w:sz w:val="32"/>
          <w:szCs w:val="32"/>
        </w:rPr>
      </w:pPr>
    </w:p>
    <w:p w14:paraId="1F7198A9">
      <w:pPr>
        <w:pageBreakBefore w:val="0"/>
        <w:kinsoku/>
        <w:wordWrap/>
        <w:overflowPunct/>
        <w:topLinePunct w:val="0"/>
        <w:bidi w:val="0"/>
        <w:spacing w:line="560" w:lineRule="exact"/>
        <w:ind w:firstLine="640" w:firstLineChars="200"/>
        <w:textAlignment w:val="auto"/>
        <w:rPr>
          <w:rFonts w:ascii="仿宋" w:hAnsi="仿宋" w:eastAsia="仿宋"/>
          <w:color w:val="000000"/>
          <w:sz w:val="32"/>
          <w:szCs w:val="32"/>
        </w:rPr>
      </w:pPr>
      <w:r>
        <w:rPr>
          <w:rFonts w:hint="eastAsia" w:ascii="仿宋_GB2312" w:hAnsi="仿宋_GB2312" w:eastAsia="仿宋_GB2312" w:cs="仿宋_GB2312"/>
          <w:color w:val="000000"/>
          <w:sz w:val="32"/>
          <w:szCs w:val="32"/>
        </w:rPr>
        <w:t>（图</w:t>
      </w:r>
      <w:r>
        <w:rPr>
          <w:rFonts w:hint="default" w:ascii="Times New Roman" w:hAnsi="Times New Roman" w:eastAsia="仿宋_GB2312" w:cs="Times New Roman"/>
          <w:color w:val="000000"/>
          <w:sz w:val="32"/>
          <w:szCs w:val="32"/>
        </w:rPr>
        <w:t>5：</w:t>
      </w:r>
      <w:r>
        <w:rPr>
          <w:rFonts w:hint="eastAsia" w:ascii="仿宋_GB2312" w:hAnsi="仿宋_GB2312" w:eastAsia="仿宋_GB2312" w:cs="仿宋_GB2312"/>
          <w:color w:val="000000"/>
          <w:sz w:val="32"/>
          <w:szCs w:val="32"/>
        </w:rPr>
        <w:t>一般公共预算财政拨款支出决算变动情况）</w:t>
      </w:r>
    </w:p>
    <w:p w14:paraId="4671162E">
      <w:pPr>
        <w:pageBreakBefore w:val="0"/>
        <w:kinsoku/>
        <w:wordWrap/>
        <w:overflowPunct/>
        <w:topLinePunct w:val="0"/>
        <w:bidi w:val="0"/>
        <w:spacing w:line="560" w:lineRule="exact"/>
        <w:ind w:firstLine="643" w:firstLineChars="200"/>
        <w:textAlignment w:val="auto"/>
        <w:outlineLvl w:val="2"/>
        <w:rPr>
          <w:rFonts w:ascii="仿宋" w:hAnsi="仿宋" w:eastAsia="仿宋"/>
          <w:b/>
          <w:color w:val="000000"/>
          <w:sz w:val="32"/>
          <w:szCs w:val="32"/>
        </w:rPr>
      </w:pPr>
      <w:bookmarkStart w:id="26" w:name="_Toc15377211"/>
      <w:r>
        <w:rPr>
          <w:rFonts w:hint="eastAsia" w:ascii="仿宋" w:hAnsi="仿宋" w:eastAsia="仿宋"/>
          <w:b/>
          <w:color w:val="000000"/>
          <w:sz w:val="32"/>
          <w:szCs w:val="32"/>
        </w:rPr>
        <w:t>（二）一般公共预算财政拨款支出决算结构情况</w:t>
      </w:r>
      <w:bookmarkEnd w:id="26"/>
    </w:p>
    <w:p w14:paraId="5554AF77">
      <w:pPr>
        <w:pageBreakBefore w:val="0"/>
        <w:kinsoku/>
        <w:wordWrap/>
        <w:overflowPunct/>
        <w:topLinePunct w:val="0"/>
        <w:bidi w:val="0"/>
        <w:spacing w:line="560" w:lineRule="exact"/>
        <w:ind w:firstLine="640"/>
        <w:textAlignment w:val="auto"/>
        <w:rPr>
          <w:rFonts w:hint="eastAsia" w:ascii="仿宋_GB2312" w:hAnsi="仿宋_GB2312" w:eastAsia="仿宋_GB2312" w:cs="仿宋_GB2312"/>
          <w:color w:val="auto"/>
          <w:sz w:val="32"/>
          <w:szCs w:val="32"/>
          <w:highlight w:val="none"/>
        </w:rPr>
      </w:pPr>
      <w:r>
        <w:rPr>
          <w:rFonts w:hint="eastAsia" w:ascii="Times New Roman" w:hAnsi="Times New Roman" w:eastAsia="仿宋_GB2312" w:cs="Times New Roman"/>
          <w:color w:val="000000"/>
          <w:sz w:val="32"/>
          <w:szCs w:val="32"/>
          <w:lang w:eastAsia="zh-CN"/>
        </w:rPr>
        <w:t>2023</w:t>
      </w:r>
      <w:r>
        <w:rPr>
          <w:rFonts w:hint="eastAsia" w:ascii="仿宋_GB2312" w:hAnsi="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rPr>
        <w:t>一般公共预算财政拨款支出</w:t>
      </w:r>
      <w:r>
        <w:rPr>
          <w:rFonts w:hint="eastAsia" w:ascii="Times New Roman" w:hAnsi="Times New Roman" w:eastAsia="仿宋_GB2312" w:cs="Times New Roman"/>
          <w:color w:val="000000"/>
          <w:sz w:val="32"/>
          <w:szCs w:val="32"/>
          <w:lang w:val="en-US" w:eastAsia="zh-CN"/>
        </w:rPr>
        <w:t>1282.03</w:t>
      </w:r>
      <w:r>
        <w:rPr>
          <w:rFonts w:hint="eastAsia" w:ascii="仿宋_GB2312" w:hAnsi="仿宋_GB2312" w:eastAsia="仿宋_GB2312" w:cs="仿宋_GB2312"/>
          <w:color w:val="auto"/>
          <w:sz w:val="32"/>
          <w:szCs w:val="32"/>
          <w:highlight w:val="none"/>
        </w:rPr>
        <w:t>万元，主要用于以下方面:</w:t>
      </w:r>
      <w:r>
        <w:rPr>
          <w:rFonts w:hint="eastAsia" w:ascii="仿宋_GB2312" w:hAnsi="仿宋_GB2312" w:eastAsia="仿宋_GB2312" w:cs="仿宋_GB2312"/>
          <w:b/>
          <w:color w:val="auto"/>
          <w:sz w:val="32"/>
          <w:szCs w:val="32"/>
          <w:highlight w:val="none"/>
        </w:rPr>
        <w:t>一般公共服务</w:t>
      </w:r>
      <w:r>
        <w:rPr>
          <w:rFonts w:hint="eastAsia" w:ascii="仿宋_GB2312" w:hAnsi="仿宋_GB2312" w:eastAsia="仿宋_GB2312" w:cs="仿宋_GB2312"/>
          <w:b/>
          <w:bCs/>
          <w:color w:val="auto"/>
          <w:sz w:val="32"/>
          <w:szCs w:val="32"/>
          <w:highlight w:val="none"/>
        </w:rPr>
        <w:t>支出</w:t>
      </w:r>
      <w:r>
        <w:rPr>
          <w:rFonts w:hint="eastAsia" w:ascii="Times New Roman" w:hAnsi="Times New Roman" w:eastAsia="仿宋_GB2312" w:cs="Times New Roman"/>
          <w:kern w:val="2"/>
          <w:sz w:val="32"/>
          <w:szCs w:val="24"/>
          <w:lang w:val="en-US" w:eastAsia="zh-CN" w:bidi="ar-SA"/>
        </w:rPr>
        <w:t>0.00</w:t>
      </w:r>
      <w:r>
        <w:rPr>
          <w:rFonts w:hint="eastAsia" w:ascii="Times New Roman" w:hAnsi="Times New Roman" w:eastAsia="仿宋_GB2312" w:cs="Times New Roman"/>
          <w:color w:val="000000"/>
          <w:sz w:val="32"/>
          <w:szCs w:val="32"/>
          <w:lang w:val="en-US" w:eastAsia="zh-CN"/>
        </w:rPr>
        <w:t>万元，占</w:t>
      </w:r>
      <w:r>
        <w:rPr>
          <w:rFonts w:hint="eastAsia" w:ascii="Times New Roman" w:hAnsi="Times New Roman" w:eastAsia="仿宋_GB2312" w:cs="Times New Roman"/>
          <w:kern w:val="2"/>
          <w:sz w:val="32"/>
          <w:szCs w:val="24"/>
          <w:lang w:val="en-US" w:eastAsia="zh-CN" w:bidi="ar-SA"/>
        </w:rPr>
        <w:t>0.00</w:t>
      </w:r>
      <w:r>
        <w:rPr>
          <w:rFonts w:hint="eastAsia" w:ascii="Times New Roman" w:hAnsi="Times New Roman" w:eastAsia="仿宋_GB2312" w:cs="Times New Roman"/>
          <w:color w:val="000000"/>
          <w:sz w:val="32"/>
          <w:szCs w:val="32"/>
          <w:lang w:val="en-US"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color w:val="auto"/>
          <w:sz w:val="32"/>
          <w:szCs w:val="32"/>
          <w:highlight w:val="none"/>
        </w:rPr>
        <w:t>教育支出</w:t>
      </w:r>
      <w:r>
        <w:rPr>
          <w:rFonts w:hint="eastAsia" w:ascii="Times New Roman" w:hAnsi="Times New Roman" w:eastAsia="仿宋_GB2312" w:cs="Times New Roman"/>
          <w:kern w:val="2"/>
          <w:sz w:val="32"/>
          <w:szCs w:val="24"/>
          <w:lang w:val="en-US" w:eastAsia="zh-CN" w:bidi="ar-SA"/>
        </w:rPr>
        <w:t>0.00</w:t>
      </w:r>
      <w:r>
        <w:rPr>
          <w:rFonts w:hint="eastAsia" w:ascii="Times New Roman" w:hAnsi="Times New Roman" w:eastAsia="仿宋_GB2312" w:cs="Times New Roman"/>
          <w:color w:val="000000"/>
          <w:sz w:val="32"/>
          <w:szCs w:val="32"/>
          <w:lang w:val="en-US" w:eastAsia="zh-CN"/>
        </w:rPr>
        <w:t>万元，占</w:t>
      </w:r>
      <w:r>
        <w:rPr>
          <w:rFonts w:hint="eastAsia" w:ascii="Times New Roman" w:hAnsi="Times New Roman" w:eastAsia="仿宋_GB2312" w:cs="Times New Roman"/>
          <w:kern w:val="2"/>
          <w:sz w:val="32"/>
          <w:szCs w:val="24"/>
          <w:lang w:val="en-US" w:eastAsia="zh-CN" w:bidi="ar-SA"/>
        </w:rPr>
        <w:t>0.00</w:t>
      </w:r>
      <w:r>
        <w:rPr>
          <w:rFonts w:hint="eastAsia" w:ascii="Times New Roman" w:hAnsi="Times New Roman" w:eastAsia="仿宋_GB2312" w:cs="Times New Roman"/>
          <w:color w:val="000000"/>
          <w:sz w:val="32"/>
          <w:szCs w:val="32"/>
          <w:lang w:val="en-US"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color w:val="auto"/>
          <w:sz w:val="32"/>
          <w:szCs w:val="32"/>
          <w:highlight w:val="none"/>
        </w:rPr>
        <w:t>科学技术</w:t>
      </w:r>
      <w:r>
        <w:rPr>
          <w:rFonts w:hint="eastAsia" w:ascii="仿宋_GB2312" w:hAnsi="仿宋_GB2312" w:eastAsia="仿宋_GB2312" w:cs="仿宋_GB2312"/>
          <w:b/>
          <w:bCs/>
          <w:color w:val="auto"/>
          <w:sz w:val="32"/>
          <w:szCs w:val="32"/>
          <w:highlight w:val="none"/>
        </w:rPr>
        <w:t>支出</w:t>
      </w:r>
      <w:r>
        <w:rPr>
          <w:rFonts w:hint="eastAsia" w:ascii="Times New Roman" w:hAnsi="Times New Roman" w:eastAsia="仿宋_GB2312" w:cs="Times New Roman"/>
          <w:kern w:val="2"/>
          <w:sz w:val="32"/>
          <w:szCs w:val="24"/>
          <w:lang w:val="en-US" w:eastAsia="zh-CN" w:bidi="ar-SA"/>
        </w:rPr>
        <w:t>0.00</w:t>
      </w:r>
      <w:r>
        <w:rPr>
          <w:rFonts w:hint="eastAsia" w:ascii="Times New Roman" w:hAnsi="Times New Roman" w:eastAsia="仿宋_GB2312" w:cs="Times New Roman"/>
          <w:color w:val="000000"/>
          <w:sz w:val="32"/>
          <w:szCs w:val="32"/>
          <w:lang w:val="en-US" w:eastAsia="zh-CN"/>
        </w:rPr>
        <w:t>万元，占</w:t>
      </w:r>
      <w:r>
        <w:rPr>
          <w:rFonts w:hint="eastAsia" w:ascii="Times New Roman" w:hAnsi="Times New Roman" w:eastAsia="仿宋_GB2312" w:cs="Times New Roman"/>
          <w:kern w:val="2"/>
          <w:sz w:val="32"/>
          <w:szCs w:val="24"/>
          <w:lang w:val="en-US" w:eastAsia="zh-CN" w:bidi="ar-SA"/>
        </w:rPr>
        <w:t>0.00</w:t>
      </w:r>
      <w:r>
        <w:rPr>
          <w:rFonts w:hint="eastAsia" w:ascii="Times New Roman" w:hAnsi="Times New Roman" w:eastAsia="仿宋_GB2312" w:cs="Times New Roman"/>
          <w:color w:val="000000"/>
          <w:sz w:val="32"/>
          <w:szCs w:val="32"/>
          <w:lang w:val="en-US"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rPr>
        <w:t>文化旅游体育与传媒支出</w:t>
      </w:r>
      <w:r>
        <w:rPr>
          <w:rFonts w:hint="eastAsia" w:ascii="Times New Roman" w:hAnsi="Times New Roman" w:eastAsia="仿宋_GB2312" w:cs="Times New Roman"/>
          <w:kern w:val="2"/>
          <w:sz w:val="32"/>
          <w:szCs w:val="24"/>
          <w:lang w:val="en-US" w:eastAsia="zh-CN" w:bidi="ar-SA"/>
        </w:rPr>
        <w:t>0.00</w:t>
      </w:r>
      <w:r>
        <w:rPr>
          <w:rFonts w:hint="eastAsia" w:ascii="仿宋_GB2312" w:hAnsi="仿宋_GB2312" w:eastAsia="仿宋_GB2312" w:cs="仿宋_GB2312"/>
          <w:b/>
          <w:bCs/>
          <w:color w:val="auto"/>
          <w:sz w:val="32"/>
          <w:szCs w:val="32"/>
          <w:highlight w:val="none"/>
        </w:rPr>
        <w:t>万元，占</w:t>
      </w:r>
      <w:r>
        <w:rPr>
          <w:rFonts w:hint="eastAsia" w:ascii="Times New Roman" w:hAnsi="Times New Roman" w:eastAsia="仿宋_GB2312" w:cs="Times New Roman"/>
          <w:kern w:val="2"/>
          <w:sz w:val="32"/>
          <w:szCs w:val="24"/>
          <w:lang w:val="en-US" w:eastAsia="zh-CN" w:bidi="ar-SA"/>
        </w:rPr>
        <w:t>0.00</w:t>
      </w:r>
      <w:r>
        <w:rPr>
          <w:rFonts w:hint="eastAsia" w:ascii="Times New Roman" w:hAnsi="Times New Roman" w:eastAsia="仿宋_GB2312" w:cs="Times New Roman"/>
          <w:color w:val="000000"/>
          <w:sz w:val="32"/>
          <w:szCs w:val="32"/>
          <w:lang w:val="en-US"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color w:val="auto"/>
          <w:sz w:val="32"/>
          <w:szCs w:val="32"/>
          <w:highlight w:val="none"/>
        </w:rPr>
        <w:t>社会保障和就业</w:t>
      </w:r>
      <w:r>
        <w:rPr>
          <w:rFonts w:hint="eastAsia" w:ascii="仿宋_GB2312" w:hAnsi="仿宋_GB2312" w:eastAsia="仿宋_GB2312" w:cs="仿宋_GB2312"/>
          <w:b/>
          <w:bCs/>
          <w:color w:val="auto"/>
          <w:sz w:val="32"/>
          <w:szCs w:val="32"/>
          <w:highlight w:val="none"/>
        </w:rPr>
        <w:t>支出</w:t>
      </w:r>
      <w:r>
        <w:rPr>
          <w:rFonts w:hint="eastAsia" w:cs="Times New Roman"/>
          <w:kern w:val="2"/>
          <w:sz w:val="32"/>
          <w:szCs w:val="24"/>
          <w:lang w:val="en-US" w:eastAsia="zh-CN" w:bidi="ar-SA"/>
        </w:rPr>
        <w:t>114.82</w:t>
      </w:r>
      <w:r>
        <w:rPr>
          <w:rFonts w:hint="eastAsia" w:ascii="仿宋_GB2312" w:hAnsi="仿宋_GB2312" w:eastAsia="仿宋_GB2312" w:cs="仿宋_GB2312"/>
          <w:color w:val="auto"/>
          <w:sz w:val="32"/>
          <w:szCs w:val="32"/>
          <w:highlight w:val="none"/>
        </w:rPr>
        <w:t>万元，占</w:t>
      </w:r>
      <w:r>
        <w:rPr>
          <w:rFonts w:hint="eastAsia" w:cs="Times New Roman"/>
          <w:kern w:val="2"/>
          <w:sz w:val="32"/>
          <w:szCs w:val="24"/>
          <w:lang w:val="en-US" w:eastAsia="zh-CN" w:bidi="ar-SA"/>
        </w:rPr>
        <w:t>8.96</w:t>
      </w:r>
      <w:r>
        <w:rPr>
          <w:rFonts w:hint="eastAsia" w:ascii="Times New Roman" w:hAnsi="Times New Roman" w:eastAsia="仿宋_GB2312" w:cs="Times New Roman"/>
          <w:color w:val="000000"/>
          <w:sz w:val="32"/>
          <w:szCs w:val="32"/>
          <w:lang w:val="en-US" w:eastAsia="zh-CN"/>
        </w:rPr>
        <w:t>%</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rPr>
        <w:t>卫生健康支出</w:t>
      </w:r>
      <w:r>
        <w:rPr>
          <w:rFonts w:hint="eastAsia" w:cs="Times New Roman"/>
          <w:color w:val="000000"/>
          <w:sz w:val="32"/>
          <w:szCs w:val="32"/>
          <w:lang w:val="en-US" w:eastAsia="zh-CN"/>
        </w:rPr>
        <w:t>46.29</w:t>
      </w:r>
      <w:r>
        <w:rPr>
          <w:rFonts w:hint="eastAsia" w:ascii="Times New Roman" w:hAnsi="Times New Roman" w:eastAsia="仿宋_GB2312" w:cs="Times New Roman"/>
          <w:color w:val="000000"/>
          <w:sz w:val="32"/>
          <w:szCs w:val="32"/>
          <w:lang w:val="en-US" w:eastAsia="zh-CN"/>
        </w:rPr>
        <w:t>万元，占</w:t>
      </w:r>
      <w:r>
        <w:rPr>
          <w:rFonts w:hint="eastAsia" w:cs="Times New Roman"/>
          <w:color w:val="000000"/>
          <w:sz w:val="32"/>
          <w:szCs w:val="32"/>
          <w:lang w:val="en-US" w:eastAsia="zh-CN"/>
        </w:rPr>
        <w:t>3.61</w:t>
      </w:r>
      <w:r>
        <w:rPr>
          <w:rFonts w:hint="eastAsia" w:ascii="Times New Roman" w:hAnsi="Times New Roman" w:eastAsia="仿宋_GB2312" w:cs="Times New Roman"/>
          <w:color w:val="000000"/>
          <w:sz w:val="32"/>
          <w:szCs w:val="32"/>
          <w:lang w:val="en-US" w:eastAsia="zh-CN"/>
        </w:rPr>
        <w:t>%；</w:t>
      </w:r>
      <w:r>
        <w:rPr>
          <w:rFonts w:hint="eastAsia" w:ascii="仿宋_GB2312" w:hAnsi="仿宋_GB2312" w:eastAsia="仿宋_GB2312" w:cs="仿宋_GB2312"/>
          <w:b/>
          <w:bCs/>
          <w:color w:val="auto"/>
          <w:sz w:val="32"/>
          <w:szCs w:val="32"/>
          <w:highlight w:val="none"/>
        </w:rPr>
        <w:t>住房保障支出</w:t>
      </w:r>
      <w:r>
        <w:rPr>
          <w:rFonts w:hint="eastAsia" w:cs="Times New Roman"/>
          <w:color w:val="000000"/>
          <w:sz w:val="32"/>
          <w:szCs w:val="32"/>
          <w:lang w:val="en-US" w:eastAsia="zh-CN"/>
        </w:rPr>
        <w:t>99.37</w:t>
      </w:r>
      <w:r>
        <w:rPr>
          <w:rFonts w:hint="eastAsia" w:ascii="Times New Roman" w:hAnsi="Times New Roman" w:eastAsia="仿宋_GB2312" w:cs="Times New Roman"/>
          <w:color w:val="000000"/>
          <w:sz w:val="32"/>
          <w:szCs w:val="32"/>
          <w:lang w:val="en-US" w:eastAsia="zh-CN"/>
        </w:rPr>
        <w:t>万元，占</w:t>
      </w:r>
      <w:r>
        <w:rPr>
          <w:rFonts w:hint="eastAsia" w:cs="Times New Roman"/>
          <w:color w:val="000000"/>
          <w:sz w:val="32"/>
          <w:szCs w:val="32"/>
          <w:lang w:val="en-US" w:eastAsia="zh-CN"/>
        </w:rPr>
        <w:t>7.75</w:t>
      </w:r>
      <w:r>
        <w:rPr>
          <w:rFonts w:hint="eastAsia" w:ascii="Times New Roman" w:hAnsi="Times New Roman" w:eastAsia="仿宋_GB2312" w:cs="Times New Roman"/>
          <w:color w:val="000000"/>
          <w:sz w:val="32"/>
          <w:szCs w:val="32"/>
          <w:lang w:val="en-US" w:eastAsia="zh-CN"/>
        </w:rPr>
        <w:t>%；</w:t>
      </w:r>
      <w:r>
        <w:rPr>
          <w:rFonts w:hint="eastAsia" w:cs="Times New Roman"/>
          <w:b/>
          <w:bCs/>
          <w:color w:val="000000"/>
          <w:sz w:val="32"/>
          <w:szCs w:val="32"/>
          <w:lang w:val="en-US" w:eastAsia="zh-CN"/>
        </w:rPr>
        <w:t>公共安全支出</w:t>
      </w:r>
      <w:r>
        <w:rPr>
          <w:rFonts w:hint="eastAsia" w:cs="Times New Roman"/>
          <w:color w:val="000000"/>
          <w:sz w:val="32"/>
          <w:szCs w:val="32"/>
          <w:lang w:val="en-US" w:eastAsia="zh-CN"/>
        </w:rPr>
        <w:t>1021.56万元，占79.68%</w:t>
      </w:r>
      <w:r>
        <w:rPr>
          <w:rFonts w:hint="eastAsia" w:ascii="Times New Roman" w:hAnsi="Times New Roman" w:eastAsia="仿宋_GB2312" w:cs="Times New Roman"/>
          <w:color w:val="000000"/>
          <w:sz w:val="32"/>
          <w:szCs w:val="32"/>
          <w:lang w:val="en-US" w:eastAsia="zh-CN"/>
        </w:rPr>
        <w:t>。</w:t>
      </w:r>
    </w:p>
    <w:p w14:paraId="0D391E75">
      <w:pPr>
        <w:pageBreakBefore w:val="0"/>
        <w:kinsoku/>
        <w:wordWrap/>
        <w:overflowPunct/>
        <w:topLinePunct w:val="0"/>
        <w:bidi w:val="0"/>
        <w:spacing w:line="560" w:lineRule="exact"/>
        <w:ind w:firstLine="640"/>
        <w:textAlignment w:val="auto"/>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anchor distT="0" distB="0" distL="114300" distR="114300" simplePos="0" relativeHeight="251666432" behindDoc="0" locked="0" layoutInCell="1" allowOverlap="1">
            <wp:simplePos x="0" y="0"/>
            <wp:positionH relativeFrom="column">
              <wp:posOffset>230505</wp:posOffset>
            </wp:positionH>
            <wp:positionV relativeFrom="paragraph">
              <wp:posOffset>38735</wp:posOffset>
            </wp:positionV>
            <wp:extent cx="4780280" cy="2416175"/>
            <wp:effectExtent l="4445" t="5080" r="15875" b="17145"/>
            <wp:wrapNone/>
            <wp:docPr id="24" name="图表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30D194F2">
      <w:pPr>
        <w:pageBreakBefore w:val="0"/>
        <w:kinsoku/>
        <w:wordWrap/>
        <w:overflowPunct/>
        <w:topLinePunct w:val="0"/>
        <w:bidi w:val="0"/>
        <w:spacing w:line="560" w:lineRule="exact"/>
        <w:ind w:firstLine="640"/>
        <w:textAlignment w:val="auto"/>
        <w:rPr>
          <w:rFonts w:hint="eastAsia" w:ascii="仿宋" w:hAnsi="仿宋" w:eastAsia="仿宋"/>
          <w:color w:val="000000"/>
          <w:sz w:val="32"/>
          <w:szCs w:val="32"/>
          <w:lang w:eastAsia="zh-CN"/>
        </w:rPr>
      </w:pPr>
    </w:p>
    <w:p w14:paraId="4F157C3E">
      <w:pPr>
        <w:pageBreakBefore w:val="0"/>
        <w:kinsoku/>
        <w:wordWrap/>
        <w:overflowPunct/>
        <w:topLinePunct w:val="0"/>
        <w:bidi w:val="0"/>
        <w:spacing w:line="560" w:lineRule="exact"/>
        <w:ind w:firstLine="640"/>
        <w:textAlignment w:val="auto"/>
        <w:rPr>
          <w:rFonts w:hint="eastAsia" w:ascii="仿宋" w:hAnsi="仿宋" w:eastAsia="仿宋"/>
          <w:color w:val="000000"/>
          <w:sz w:val="32"/>
          <w:szCs w:val="32"/>
          <w:lang w:eastAsia="zh-CN"/>
        </w:rPr>
      </w:pPr>
    </w:p>
    <w:p w14:paraId="2F52C2DA">
      <w:pPr>
        <w:pageBreakBefore w:val="0"/>
        <w:kinsoku/>
        <w:wordWrap/>
        <w:overflowPunct/>
        <w:topLinePunct w:val="0"/>
        <w:bidi w:val="0"/>
        <w:spacing w:line="560" w:lineRule="exact"/>
        <w:ind w:firstLine="640"/>
        <w:textAlignment w:val="auto"/>
        <w:rPr>
          <w:rFonts w:hint="eastAsia" w:ascii="仿宋" w:hAnsi="仿宋" w:eastAsia="仿宋"/>
          <w:color w:val="000000"/>
          <w:sz w:val="32"/>
          <w:szCs w:val="32"/>
          <w:lang w:eastAsia="zh-CN"/>
        </w:rPr>
      </w:pPr>
    </w:p>
    <w:p w14:paraId="03BFCC96">
      <w:pPr>
        <w:pageBreakBefore w:val="0"/>
        <w:kinsoku/>
        <w:wordWrap/>
        <w:overflowPunct/>
        <w:topLinePunct w:val="0"/>
        <w:bidi w:val="0"/>
        <w:spacing w:line="560" w:lineRule="exact"/>
        <w:ind w:firstLine="640"/>
        <w:textAlignment w:val="auto"/>
        <w:rPr>
          <w:rFonts w:hint="eastAsia" w:ascii="仿宋" w:hAnsi="仿宋" w:eastAsia="仿宋"/>
          <w:color w:val="000000"/>
          <w:sz w:val="32"/>
          <w:szCs w:val="32"/>
          <w:lang w:eastAsia="zh-CN"/>
        </w:rPr>
      </w:pPr>
    </w:p>
    <w:p w14:paraId="2C452FD2">
      <w:pPr>
        <w:pageBreakBefore w:val="0"/>
        <w:kinsoku/>
        <w:wordWrap/>
        <w:overflowPunct/>
        <w:topLinePunct w:val="0"/>
        <w:bidi w:val="0"/>
        <w:spacing w:line="560" w:lineRule="exact"/>
        <w:textAlignment w:val="auto"/>
        <w:rPr>
          <w:rFonts w:hint="eastAsia" w:ascii="仿宋" w:hAnsi="仿宋" w:eastAsia="仿宋"/>
          <w:color w:val="000000"/>
          <w:sz w:val="32"/>
          <w:szCs w:val="32"/>
          <w:lang w:eastAsia="zh-CN"/>
        </w:rPr>
      </w:pPr>
    </w:p>
    <w:p w14:paraId="3FEF6F1E">
      <w:pPr>
        <w:pageBreakBefore w:val="0"/>
        <w:kinsoku/>
        <w:wordWrap/>
        <w:overflowPunct/>
        <w:topLinePunct w:val="0"/>
        <w:bidi w:val="0"/>
        <w:spacing w:line="560" w:lineRule="exact"/>
        <w:ind w:firstLine="640" w:firstLineChars="200"/>
        <w:jc w:val="center"/>
        <w:textAlignment w:val="auto"/>
        <w:rPr>
          <w:rFonts w:hint="eastAsia" w:ascii="仿宋_GB2312" w:hAnsi="仿宋_GB2312" w:eastAsia="仿宋_GB2312" w:cs="仿宋_GB2312"/>
          <w:color w:val="000000"/>
          <w:sz w:val="32"/>
          <w:szCs w:val="32"/>
        </w:rPr>
      </w:pPr>
    </w:p>
    <w:p w14:paraId="73D3702F">
      <w:pPr>
        <w:pageBreakBefore w:val="0"/>
        <w:kinsoku/>
        <w:wordWrap/>
        <w:overflowPunct/>
        <w:topLinePunct w:val="0"/>
        <w:bidi w:val="0"/>
        <w:spacing w:line="560" w:lineRule="exact"/>
        <w:ind w:firstLine="640" w:firstLineChars="200"/>
        <w:jc w:val="center"/>
        <w:textAlignment w:val="auto"/>
        <w:rPr>
          <w:rFonts w:hint="eastAsia" w:ascii="仿宋" w:hAnsi="仿宋" w:eastAsia="仿宋"/>
          <w:b/>
          <w:color w:val="000000"/>
          <w:sz w:val="32"/>
          <w:szCs w:val="32"/>
        </w:rPr>
      </w:pPr>
      <w:r>
        <w:rPr>
          <w:rFonts w:hint="eastAsia" w:ascii="仿宋_GB2312" w:hAnsi="仿宋_GB2312" w:eastAsia="仿宋_GB2312" w:cs="仿宋_GB2312"/>
          <w:color w:val="000000"/>
          <w:sz w:val="32"/>
          <w:szCs w:val="32"/>
        </w:rPr>
        <w:t>（图</w:t>
      </w:r>
      <w:r>
        <w:rPr>
          <w:rFonts w:hint="eastAsia" w:cs="Times New Roman"/>
          <w:color w:val="000000"/>
          <w:sz w:val="32"/>
          <w:szCs w:val="32"/>
          <w:lang w:val="en-US" w:eastAsia="zh-CN"/>
        </w:rPr>
        <w:t>6</w:t>
      </w:r>
      <w:r>
        <w:rPr>
          <w:rFonts w:hint="eastAsia" w:ascii="仿宋_GB2312" w:hAnsi="仿宋_GB2312" w:eastAsia="仿宋_GB2312" w:cs="仿宋_GB2312"/>
          <w:color w:val="000000"/>
          <w:sz w:val="32"/>
          <w:szCs w:val="32"/>
        </w:rPr>
        <w:t>：一般公共预算财政拨款支出决算结构）</w:t>
      </w:r>
      <w:bookmarkStart w:id="27" w:name="_Toc15377212"/>
    </w:p>
    <w:p w14:paraId="323677FD">
      <w:pPr>
        <w:pageBreakBefore w:val="0"/>
        <w:kinsoku/>
        <w:wordWrap/>
        <w:overflowPunct/>
        <w:topLinePunct w:val="0"/>
        <w:bidi w:val="0"/>
        <w:spacing w:line="560" w:lineRule="exact"/>
        <w:ind w:firstLine="643" w:firstLineChars="200"/>
        <w:textAlignment w:val="auto"/>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27"/>
    </w:p>
    <w:p w14:paraId="6289A2A3">
      <w:pPr>
        <w:pageBreakBefore w:val="0"/>
        <w:kinsoku/>
        <w:wordWrap/>
        <w:overflowPunct/>
        <w:topLinePunct w:val="0"/>
        <w:bidi w:val="0"/>
        <w:spacing w:line="560" w:lineRule="exact"/>
        <w:ind w:firstLine="640" w:firstLineChars="200"/>
        <w:textAlignment w:val="auto"/>
        <w:outlineLvl w:val="2"/>
        <w:rPr>
          <w:rFonts w:hint="eastAsia" w:ascii="仿宋_GB2312" w:hAnsi="仿宋_GB2312" w:eastAsia="仿宋_GB2312" w:cs="仿宋_GB2312"/>
          <w:color w:val="auto"/>
          <w:sz w:val="32"/>
          <w:szCs w:val="32"/>
          <w:highlight w:val="none"/>
        </w:rPr>
      </w:pPr>
      <w:bookmarkStart w:id="28" w:name="_Toc15377444"/>
      <w:bookmarkStart w:id="29" w:name="_Toc15377213"/>
      <w:bookmarkStart w:id="30" w:name="_Toc15378460"/>
      <w:r>
        <w:rPr>
          <w:rFonts w:hint="eastAsia" w:ascii="Times New Roman" w:hAnsi="Times New Roman" w:eastAsia="仿宋_GB2312" w:cs="Times New Roman"/>
          <w:color w:val="000000"/>
          <w:sz w:val="32"/>
          <w:szCs w:val="32"/>
          <w:lang w:eastAsia="zh-CN"/>
        </w:rPr>
        <w:t>2023</w:t>
      </w:r>
      <w:r>
        <w:rPr>
          <w:rFonts w:hint="eastAsia" w:ascii="仿宋_GB2312" w:hAnsi="仿宋_GB2312" w:cs="仿宋_GB2312"/>
          <w:b/>
          <w:color w:val="auto"/>
          <w:sz w:val="32"/>
          <w:szCs w:val="32"/>
          <w:highlight w:val="none"/>
          <w:lang w:eastAsia="zh-CN"/>
        </w:rPr>
        <w:t>年</w:t>
      </w:r>
      <w:r>
        <w:rPr>
          <w:rFonts w:hint="eastAsia" w:ascii="仿宋_GB2312" w:hAnsi="仿宋_GB2312" w:eastAsia="仿宋_GB2312" w:cs="仿宋_GB2312"/>
          <w:b/>
          <w:color w:val="auto"/>
          <w:sz w:val="32"/>
          <w:szCs w:val="32"/>
          <w:highlight w:val="none"/>
          <w:lang w:eastAsia="zh-CN"/>
        </w:rPr>
        <w:t>一</w:t>
      </w:r>
      <w:r>
        <w:rPr>
          <w:rFonts w:hint="eastAsia" w:ascii="仿宋_GB2312" w:hAnsi="仿宋_GB2312" w:eastAsia="仿宋_GB2312" w:cs="仿宋_GB2312"/>
          <w:b/>
          <w:color w:val="auto"/>
          <w:sz w:val="32"/>
          <w:szCs w:val="32"/>
          <w:highlight w:val="none"/>
        </w:rPr>
        <w:t>般公共预算支出决算数为</w:t>
      </w:r>
      <w:r>
        <w:rPr>
          <w:rFonts w:hint="eastAsia" w:ascii="Times New Roman" w:hAnsi="Times New Roman" w:eastAsia="仿宋_GB2312" w:cs="Times New Roman"/>
          <w:color w:val="000000"/>
          <w:sz w:val="32"/>
          <w:szCs w:val="32"/>
          <w:lang w:val="en-US" w:eastAsia="zh-CN"/>
        </w:rPr>
        <w:t>1282.03</w:t>
      </w:r>
      <w:r>
        <w:rPr>
          <w:rFonts w:hint="eastAsia" w:ascii="仿宋_GB2312" w:hAnsi="仿宋_GB2312" w:cs="仿宋_GB2312"/>
          <w:b/>
          <w:color w:val="auto"/>
          <w:sz w:val="32"/>
          <w:szCs w:val="32"/>
          <w:highlight w:val="none"/>
          <w:lang w:val="en-US" w:eastAsia="zh-CN"/>
        </w:rPr>
        <w:t>万元</w:t>
      </w:r>
      <w:r>
        <w:rPr>
          <w:rFonts w:hint="eastAsia" w:ascii="仿宋_GB2312" w:hAnsi="仿宋_GB2312" w:eastAsia="仿宋_GB2312" w:cs="仿宋_GB2312"/>
          <w:color w:val="auto"/>
          <w:sz w:val="32"/>
          <w:szCs w:val="32"/>
          <w:highlight w:val="none"/>
        </w:rPr>
        <w:t>，</w:t>
      </w:r>
      <w:r>
        <w:rPr>
          <w:rStyle w:val="16"/>
          <w:rFonts w:hint="eastAsia" w:ascii="仿宋_GB2312" w:hAnsi="仿宋_GB2312" w:eastAsia="仿宋_GB2312" w:cs="仿宋_GB2312"/>
          <w:bCs/>
          <w:color w:val="auto"/>
          <w:sz w:val="32"/>
          <w:szCs w:val="32"/>
          <w:highlight w:val="none"/>
        </w:rPr>
        <w:t>完成预算</w:t>
      </w:r>
      <w:r>
        <w:rPr>
          <w:rFonts w:hint="eastAsia" w:ascii="Times New Roman" w:hAnsi="Times New Roman" w:eastAsia="仿宋_GB2312" w:cs="Times New Roman"/>
          <w:color w:val="000000"/>
          <w:sz w:val="32"/>
          <w:szCs w:val="32"/>
          <w:lang w:val="en-US" w:eastAsia="zh-CN"/>
        </w:rPr>
        <w:t>100%</w:t>
      </w:r>
      <w:r>
        <w:rPr>
          <w:rStyle w:val="16"/>
          <w:rFonts w:hint="eastAsia" w:ascii="仿宋_GB2312" w:hAnsi="仿宋_GB2312" w:eastAsia="仿宋_GB2312" w:cs="仿宋_GB2312"/>
          <w:bCs/>
          <w:color w:val="auto"/>
          <w:sz w:val="32"/>
          <w:szCs w:val="32"/>
          <w:highlight w:val="none"/>
        </w:rPr>
        <w:t>。其中：</w:t>
      </w:r>
      <w:bookmarkEnd w:id="28"/>
      <w:bookmarkEnd w:id="29"/>
      <w:bookmarkEnd w:id="30"/>
    </w:p>
    <w:p w14:paraId="0C011F64">
      <w:pPr>
        <w:pageBreakBefore w:val="0"/>
        <w:kinsoku/>
        <w:wordWrap/>
        <w:overflowPunct/>
        <w:topLinePunct w:val="0"/>
        <w:bidi w:val="0"/>
        <w:spacing w:line="560" w:lineRule="exact"/>
        <w:ind w:firstLine="643" w:firstLineChars="200"/>
        <w:textAlignment w:val="auto"/>
        <w:rPr>
          <w:rFonts w:hint="eastAsia" w:ascii="仿宋_GB2312" w:hAnsi="仿宋_GB2312" w:eastAsia="仿宋_GB2312" w:cs="仿宋_GB2312"/>
          <w:b/>
          <w:color w:val="auto"/>
          <w:sz w:val="32"/>
          <w:szCs w:val="32"/>
          <w:highlight w:val="none"/>
        </w:rPr>
      </w:pPr>
      <w:r>
        <w:rPr>
          <w:rStyle w:val="16"/>
          <w:rFonts w:hint="eastAsia" w:ascii="仿宋_GB2312" w:hAnsi="仿宋_GB2312" w:eastAsia="仿宋_GB2312" w:cs="仿宋_GB2312"/>
          <w:bCs/>
          <w:color w:val="auto"/>
          <w:sz w:val="32"/>
          <w:szCs w:val="32"/>
          <w:highlight w:val="none"/>
        </w:rPr>
        <w:t>1.公共</w:t>
      </w:r>
      <w:r>
        <w:rPr>
          <w:rStyle w:val="16"/>
          <w:rFonts w:hint="eastAsia" w:ascii="仿宋_GB2312" w:hAnsi="仿宋_GB2312" w:cs="仿宋_GB2312"/>
          <w:bCs/>
          <w:color w:val="auto"/>
          <w:sz w:val="32"/>
          <w:szCs w:val="32"/>
          <w:highlight w:val="none"/>
          <w:lang w:val="en-US" w:eastAsia="zh-CN"/>
        </w:rPr>
        <w:t>安全</w:t>
      </w:r>
      <w:r>
        <w:rPr>
          <w:rStyle w:val="16"/>
          <w:rFonts w:hint="eastAsia" w:ascii="仿宋_GB2312" w:hAnsi="仿宋_GB2312" w:eastAsia="仿宋_GB2312" w:cs="仿宋_GB2312"/>
          <w:bCs/>
          <w:color w:val="auto"/>
          <w:sz w:val="32"/>
          <w:szCs w:val="32"/>
          <w:highlight w:val="none"/>
        </w:rPr>
        <w:t>（类）</w:t>
      </w:r>
      <w:r>
        <w:rPr>
          <w:rStyle w:val="16"/>
          <w:rFonts w:hint="eastAsia" w:ascii="仿宋_GB2312" w:hAnsi="仿宋_GB2312" w:cs="仿宋_GB2312"/>
          <w:bCs/>
          <w:color w:val="auto"/>
          <w:sz w:val="32"/>
          <w:szCs w:val="32"/>
          <w:highlight w:val="none"/>
          <w:lang w:val="en-US" w:eastAsia="zh-CN"/>
        </w:rPr>
        <w:t>检察</w:t>
      </w:r>
      <w:r>
        <w:rPr>
          <w:rStyle w:val="16"/>
          <w:rFonts w:hint="eastAsia" w:ascii="仿宋_GB2312" w:hAnsi="仿宋_GB2312" w:eastAsia="仿宋_GB2312" w:cs="仿宋_GB2312"/>
          <w:bCs/>
          <w:color w:val="auto"/>
          <w:sz w:val="32"/>
          <w:szCs w:val="32"/>
          <w:highlight w:val="none"/>
        </w:rPr>
        <w:t>（款）</w:t>
      </w:r>
      <w:r>
        <w:rPr>
          <w:rStyle w:val="16"/>
          <w:rFonts w:hint="eastAsia" w:ascii="仿宋_GB2312" w:hAnsi="仿宋_GB2312" w:cs="仿宋_GB2312"/>
          <w:bCs/>
          <w:color w:val="auto"/>
          <w:sz w:val="32"/>
          <w:szCs w:val="32"/>
          <w:highlight w:val="none"/>
          <w:lang w:val="en-US" w:eastAsia="zh-CN"/>
        </w:rPr>
        <w:t>行政运行</w:t>
      </w:r>
      <w:r>
        <w:rPr>
          <w:rStyle w:val="16"/>
          <w:rFonts w:hint="eastAsia" w:ascii="仿宋_GB2312" w:hAnsi="仿宋_GB2312" w:eastAsia="仿宋_GB2312" w:cs="仿宋_GB2312"/>
          <w:bCs/>
          <w:color w:val="auto"/>
          <w:sz w:val="32"/>
          <w:szCs w:val="32"/>
          <w:highlight w:val="none"/>
        </w:rPr>
        <w:t>（项）:</w:t>
      </w:r>
      <w:r>
        <w:rPr>
          <w:rStyle w:val="16"/>
          <w:rFonts w:hint="eastAsia" w:ascii="仿宋_GB2312" w:hAnsi="仿宋_GB2312" w:eastAsia="仿宋_GB2312" w:cs="仿宋_GB2312"/>
          <w:b w:val="0"/>
          <w:bCs/>
          <w:color w:val="auto"/>
          <w:sz w:val="32"/>
          <w:szCs w:val="32"/>
          <w:highlight w:val="none"/>
        </w:rPr>
        <w:t xml:space="preserve"> 支出决算为</w:t>
      </w:r>
      <w:r>
        <w:rPr>
          <w:rFonts w:hint="eastAsia" w:ascii="Times New Roman" w:hAnsi="Times New Roman" w:eastAsia="仿宋_GB2312" w:cs="Times New Roman"/>
          <w:color w:val="000000"/>
          <w:sz w:val="32"/>
          <w:szCs w:val="32"/>
          <w:lang w:val="en-US" w:eastAsia="zh-CN"/>
        </w:rPr>
        <w:t>809.79万元，完成预算</w:t>
      </w:r>
      <w:r>
        <w:rPr>
          <w:rFonts w:hint="eastAsia" w:cs="Times New Roman"/>
          <w:color w:val="000000"/>
          <w:sz w:val="32"/>
          <w:szCs w:val="32"/>
          <w:lang w:val="en-US" w:eastAsia="zh-CN"/>
        </w:rPr>
        <w:t>100</w:t>
      </w:r>
      <w:r>
        <w:rPr>
          <w:rFonts w:hint="eastAsia" w:ascii="Times New Roman" w:hAnsi="Times New Roman" w:eastAsia="仿宋_GB2312" w:cs="Times New Roman"/>
          <w:color w:val="000000"/>
          <w:sz w:val="32"/>
          <w:szCs w:val="32"/>
          <w:lang w:val="en-US" w:eastAsia="zh-CN"/>
        </w:rPr>
        <w:t>%，决算数等于预算数。</w:t>
      </w:r>
    </w:p>
    <w:p w14:paraId="36AEFFB5">
      <w:pPr>
        <w:pageBreakBefore w:val="0"/>
        <w:kinsoku/>
        <w:wordWrap/>
        <w:overflowPunct/>
        <w:topLinePunct w:val="0"/>
        <w:bidi w:val="0"/>
        <w:spacing w:line="560" w:lineRule="exact"/>
        <w:ind w:firstLine="643" w:firstLineChars="200"/>
        <w:textAlignment w:val="auto"/>
        <w:rPr>
          <w:rFonts w:hint="eastAsia" w:ascii="Times New Roman" w:hAnsi="Times New Roman" w:eastAsia="仿宋_GB2312" w:cs="Times New Roman"/>
          <w:color w:val="000000"/>
          <w:sz w:val="32"/>
          <w:szCs w:val="32"/>
          <w:lang w:val="en-US" w:eastAsia="zh-CN"/>
        </w:rPr>
      </w:pPr>
      <w:r>
        <w:rPr>
          <w:rStyle w:val="16"/>
          <w:rFonts w:hint="eastAsia" w:ascii="仿宋_GB2312" w:hAnsi="仿宋_GB2312" w:eastAsia="仿宋_GB2312" w:cs="仿宋_GB2312"/>
          <w:bCs/>
          <w:color w:val="auto"/>
          <w:sz w:val="32"/>
          <w:szCs w:val="32"/>
          <w:highlight w:val="none"/>
        </w:rPr>
        <w:t>2.公共</w:t>
      </w:r>
      <w:r>
        <w:rPr>
          <w:rStyle w:val="16"/>
          <w:rFonts w:hint="eastAsia" w:ascii="仿宋_GB2312" w:hAnsi="仿宋_GB2312" w:cs="仿宋_GB2312"/>
          <w:bCs/>
          <w:color w:val="auto"/>
          <w:sz w:val="32"/>
          <w:szCs w:val="32"/>
          <w:highlight w:val="none"/>
          <w:lang w:val="en-US" w:eastAsia="zh-CN"/>
        </w:rPr>
        <w:t>安全</w:t>
      </w:r>
      <w:r>
        <w:rPr>
          <w:rStyle w:val="16"/>
          <w:rFonts w:hint="eastAsia" w:ascii="仿宋_GB2312" w:hAnsi="仿宋_GB2312" w:eastAsia="仿宋_GB2312" w:cs="仿宋_GB2312"/>
          <w:bCs/>
          <w:color w:val="auto"/>
          <w:sz w:val="32"/>
          <w:szCs w:val="32"/>
          <w:highlight w:val="none"/>
        </w:rPr>
        <w:t>（类）</w:t>
      </w:r>
      <w:r>
        <w:rPr>
          <w:rStyle w:val="16"/>
          <w:rFonts w:hint="eastAsia" w:ascii="仿宋_GB2312" w:hAnsi="仿宋_GB2312" w:cs="仿宋_GB2312"/>
          <w:bCs/>
          <w:color w:val="auto"/>
          <w:sz w:val="32"/>
          <w:szCs w:val="32"/>
          <w:highlight w:val="none"/>
          <w:lang w:val="en-US" w:eastAsia="zh-CN"/>
        </w:rPr>
        <w:t>检察</w:t>
      </w:r>
      <w:r>
        <w:rPr>
          <w:rStyle w:val="16"/>
          <w:rFonts w:hint="eastAsia" w:ascii="仿宋_GB2312" w:hAnsi="仿宋_GB2312" w:eastAsia="仿宋_GB2312" w:cs="仿宋_GB2312"/>
          <w:bCs/>
          <w:color w:val="auto"/>
          <w:sz w:val="32"/>
          <w:szCs w:val="32"/>
          <w:highlight w:val="none"/>
        </w:rPr>
        <w:t>（款）</w:t>
      </w:r>
      <w:r>
        <w:rPr>
          <w:rStyle w:val="16"/>
          <w:rFonts w:hint="eastAsia" w:ascii="仿宋_GB2312" w:hAnsi="仿宋_GB2312" w:cs="仿宋_GB2312"/>
          <w:bCs/>
          <w:color w:val="auto"/>
          <w:sz w:val="32"/>
          <w:szCs w:val="32"/>
          <w:highlight w:val="none"/>
          <w:lang w:val="en-US" w:eastAsia="zh-CN"/>
        </w:rPr>
        <w:t>一般管理事务</w:t>
      </w:r>
      <w:r>
        <w:rPr>
          <w:rStyle w:val="16"/>
          <w:rFonts w:hint="eastAsia" w:ascii="仿宋_GB2312" w:hAnsi="仿宋_GB2312" w:eastAsia="仿宋_GB2312" w:cs="仿宋_GB2312"/>
          <w:bCs/>
          <w:color w:val="auto"/>
          <w:sz w:val="32"/>
          <w:szCs w:val="32"/>
          <w:highlight w:val="none"/>
        </w:rPr>
        <w:t>（项）:</w:t>
      </w:r>
      <w:r>
        <w:rPr>
          <w:rStyle w:val="16"/>
          <w:rFonts w:hint="eastAsia" w:ascii="仿宋_GB2312" w:hAnsi="仿宋_GB2312" w:eastAsia="仿宋_GB2312" w:cs="仿宋_GB2312"/>
          <w:b w:val="0"/>
          <w:bCs/>
          <w:color w:val="auto"/>
          <w:sz w:val="32"/>
          <w:szCs w:val="32"/>
          <w:highlight w:val="none"/>
        </w:rPr>
        <w:t xml:space="preserve"> 支出决算为</w:t>
      </w:r>
      <w:r>
        <w:rPr>
          <w:rFonts w:hint="eastAsia" w:ascii="Times New Roman" w:hAnsi="Times New Roman" w:eastAsia="仿宋_GB2312" w:cs="Times New Roman"/>
          <w:color w:val="000000"/>
          <w:sz w:val="32"/>
          <w:szCs w:val="32"/>
          <w:lang w:val="en-US" w:eastAsia="zh-CN"/>
        </w:rPr>
        <w:t>211.77万元，完成预算</w:t>
      </w:r>
      <w:r>
        <w:rPr>
          <w:rFonts w:hint="eastAsia" w:cs="Times New Roman"/>
          <w:color w:val="000000"/>
          <w:sz w:val="32"/>
          <w:szCs w:val="32"/>
          <w:lang w:val="en-US" w:eastAsia="zh-CN"/>
        </w:rPr>
        <w:t>100</w:t>
      </w:r>
      <w:r>
        <w:rPr>
          <w:rFonts w:hint="eastAsia" w:ascii="Times New Roman" w:hAnsi="Times New Roman" w:eastAsia="仿宋_GB2312" w:cs="Times New Roman"/>
          <w:color w:val="000000"/>
          <w:sz w:val="32"/>
          <w:szCs w:val="32"/>
          <w:lang w:val="en-US" w:eastAsia="zh-CN"/>
        </w:rPr>
        <w:t>%，决算数等于预算数。</w:t>
      </w:r>
    </w:p>
    <w:p w14:paraId="3FC38FA4">
      <w:pPr>
        <w:pageBreakBefore w:val="0"/>
        <w:kinsoku/>
        <w:wordWrap/>
        <w:overflowPunct/>
        <w:topLinePunct w:val="0"/>
        <w:bidi w:val="0"/>
        <w:spacing w:line="560" w:lineRule="exact"/>
        <w:ind w:firstLine="643" w:firstLineChars="200"/>
        <w:textAlignment w:val="auto"/>
        <w:rPr>
          <w:rFonts w:hint="eastAsia" w:ascii="Times New Roman" w:hAnsi="Times New Roman" w:eastAsia="仿宋_GB2312" w:cs="Times New Roman"/>
          <w:color w:val="000000"/>
          <w:sz w:val="32"/>
          <w:szCs w:val="32"/>
          <w:lang w:val="en-US" w:eastAsia="zh-CN"/>
        </w:rPr>
      </w:pPr>
      <w:r>
        <w:rPr>
          <w:rStyle w:val="16"/>
          <w:rFonts w:hint="eastAsia" w:ascii="仿宋_GB2312" w:hAnsi="仿宋_GB2312" w:eastAsia="仿宋_GB2312" w:cs="仿宋_GB2312"/>
          <w:bCs/>
          <w:color w:val="auto"/>
          <w:sz w:val="32"/>
          <w:szCs w:val="32"/>
          <w:highlight w:val="none"/>
        </w:rPr>
        <w:t>3.社会保障和就业（类）</w:t>
      </w:r>
      <w:r>
        <w:rPr>
          <w:rStyle w:val="16"/>
          <w:rFonts w:hint="eastAsia" w:ascii="仿宋_GB2312" w:hAnsi="仿宋_GB2312" w:cs="仿宋_GB2312"/>
          <w:bCs/>
          <w:color w:val="auto"/>
          <w:sz w:val="32"/>
          <w:szCs w:val="32"/>
          <w:lang w:eastAsia="zh-CN"/>
        </w:rPr>
        <w:t>行政事业单位养老支出</w:t>
      </w:r>
      <w:r>
        <w:rPr>
          <w:rStyle w:val="16"/>
          <w:rFonts w:hint="eastAsia" w:ascii="仿宋_GB2312" w:hAnsi="仿宋_GB2312" w:eastAsia="仿宋_GB2312" w:cs="仿宋_GB2312"/>
          <w:bCs/>
          <w:color w:val="auto"/>
          <w:sz w:val="32"/>
          <w:szCs w:val="32"/>
          <w:highlight w:val="none"/>
        </w:rPr>
        <w:t>（款）</w:t>
      </w:r>
      <w:r>
        <w:rPr>
          <w:rStyle w:val="16"/>
          <w:rFonts w:hint="eastAsia" w:ascii="仿宋_GB2312" w:hAnsi="仿宋_GB2312" w:cs="仿宋_GB2312"/>
          <w:bCs/>
          <w:color w:val="auto"/>
          <w:sz w:val="32"/>
          <w:szCs w:val="32"/>
          <w:highlight w:val="none"/>
          <w:lang w:val="en-US" w:eastAsia="zh-CN"/>
        </w:rPr>
        <w:t>行政单位离退休</w:t>
      </w:r>
      <w:r>
        <w:rPr>
          <w:rStyle w:val="16"/>
          <w:rFonts w:hint="eastAsia" w:ascii="仿宋_GB2312" w:hAnsi="仿宋_GB2312" w:eastAsia="仿宋_GB2312" w:cs="仿宋_GB2312"/>
          <w:bCs/>
          <w:color w:val="auto"/>
          <w:sz w:val="32"/>
          <w:szCs w:val="32"/>
          <w:highlight w:val="none"/>
        </w:rPr>
        <w:t>（项）:</w:t>
      </w:r>
      <w:r>
        <w:rPr>
          <w:rStyle w:val="16"/>
          <w:rFonts w:hint="eastAsia" w:ascii="仿宋_GB2312" w:hAnsi="仿宋_GB2312" w:eastAsia="仿宋_GB2312" w:cs="仿宋_GB2312"/>
          <w:b w:val="0"/>
          <w:bCs/>
          <w:color w:val="auto"/>
          <w:sz w:val="32"/>
          <w:szCs w:val="32"/>
          <w:highlight w:val="none"/>
        </w:rPr>
        <w:t xml:space="preserve"> 支出决算为</w:t>
      </w:r>
      <w:r>
        <w:rPr>
          <w:rFonts w:hint="eastAsia" w:cs="Times New Roman"/>
          <w:color w:val="000000"/>
          <w:sz w:val="32"/>
          <w:szCs w:val="32"/>
          <w:lang w:val="en-US" w:eastAsia="zh-CN"/>
        </w:rPr>
        <w:t>2.17</w:t>
      </w:r>
      <w:r>
        <w:rPr>
          <w:rFonts w:hint="eastAsia" w:ascii="Times New Roman" w:hAnsi="Times New Roman" w:eastAsia="仿宋_GB2312" w:cs="Times New Roman"/>
          <w:color w:val="000000"/>
          <w:sz w:val="32"/>
          <w:szCs w:val="32"/>
          <w:lang w:val="en-US" w:eastAsia="zh-CN"/>
        </w:rPr>
        <w:t>万元，完成预算</w:t>
      </w:r>
      <w:r>
        <w:rPr>
          <w:rFonts w:hint="eastAsia" w:cs="Times New Roman"/>
          <w:color w:val="000000"/>
          <w:sz w:val="32"/>
          <w:szCs w:val="32"/>
          <w:lang w:val="en-US" w:eastAsia="zh-CN"/>
        </w:rPr>
        <w:t>100</w:t>
      </w:r>
      <w:r>
        <w:rPr>
          <w:rFonts w:hint="eastAsia" w:ascii="Times New Roman" w:hAnsi="Times New Roman" w:eastAsia="仿宋_GB2312" w:cs="Times New Roman"/>
          <w:color w:val="000000"/>
          <w:sz w:val="32"/>
          <w:szCs w:val="32"/>
          <w:lang w:val="en-US" w:eastAsia="zh-CN"/>
        </w:rPr>
        <w:t>%，决算数等于预算数。</w:t>
      </w:r>
    </w:p>
    <w:p w14:paraId="2979A9B7">
      <w:pPr>
        <w:pageBreakBefore w:val="0"/>
        <w:kinsoku/>
        <w:wordWrap/>
        <w:overflowPunct/>
        <w:topLinePunct w:val="0"/>
        <w:bidi w:val="0"/>
        <w:spacing w:line="560" w:lineRule="exact"/>
        <w:ind w:firstLine="643" w:firstLineChars="200"/>
        <w:textAlignment w:val="auto"/>
        <w:rPr>
          <w:rFonts w:hint="eastAsia" w:ascii="Times New Roman" w:hAnsi="Times New Roman" w:eastAsia="仿宋_GB2312" w:cs="Times New Roman"/>
          <w:color w:val="000000"/>
          <w:sz w:val="32"/>
          <w:szCs w:val="32"/>
          <w:lang w:val="en-US" w:eastAsia="zh-CN"/>
        </w:rPr>
      </w:pPr>
      <w:r>
        <w:rPr>
          <w:rStyle w:val="16"/>
          <w:rFonts w:hint="eastAsia" w:ascii="仿宋_GB2312" w:hAnsi="仿宋_GB2312" w:eastAsia="仿宋_GB2312" w:cs="仿宋_GB2312"/>
          <w:bCs/>
          <w:color w:val="auto"/>
          <w:sz w:val="32"/>
          <w:szCs w:val="32"/>
          <w:highlight w:val="none"/>
        </w:rPr>
        <w:t>4.社会保障和就业（类）</w:t>
      </w:r>
      <w:r>
        <w:rPr>
          <w:rStyle w:val="16"/>
          <w:rFonts w:hint="eastAsia" w:ascii="仿宋_GB2312" w:hAnsi="仿宋_GB2312" w:cs="仿宋_GB2312"/>
          <w:bCs/>
          <w:color w:val="auto"/>
          <w:sz w:val="32"/>
          <w:szCs w:val="32"/>
          <w:lang w:eastAsia="zh-CN"/>
        </w:rPr>
        <w:t>行政事业单位养老支出</w:t>
      </w:r>
      <w:r>
        <w:rPr>
          <w:rStyle w:val="16"/>
          <w:rFonts w:hint="eastAsia" w:ascii="仿宋_GB2312" w:hAnsi="仿宋_GB2312" w:eastAsia="仿宋_GB2312" w:cs="仿宋_GB2312"/>
          <w:bCs/>
          <w:color w:val="auto"/>
          <w:sz w:val="32"/>
          <w:szCs w:val="32"/>
          <w:highlight w:val="none"/>
        </w:rPr>
        <w:t>（款）</w:t>
      </w:r>
      <w:r>
        <w:rPr>
          <w:rStyle w:val="16"/>
          <w:rFonts w:hint="eastAsia" w:ascii="仿宋_GB2312" w:hAnsi="仿宋_GB2312" w:cs="仿宋_GB2312"/>
          <w:bCs/>
          <w:color w:val="auto"/>
          <w:sz w:val="32"/>
          <w:szCs w:val="32"/>
          <w:highlight w:val="none"/>
          <w:lang w:val="en-US" w:eastAsia="zh-CN"/>
        </w:rPr>
        <w:t>机关事业单位基本养老保险缴费支出</w:t>
      </w:r>
      <w:r>
        <w:rPr>
          <w:rStyle w:val="16"/>
          <w:rFonts w:hint="eastAsia" w:ascii="仿宋_GB2312" w:hAnsi="仿宋_GB2312" w:eastAsia="仿宋_GB2312" w:cs="仿宋_GB2312"/>
          <w:bCs/>
          <w:color w:val="auto"/>
          <w:sz w:val="32"/>
          <w:szCs w:val="32"/>
          <w:highlight w:val="none"/>
        </w:rPr>
        <w:t>（项）:</w:t>
      </w:r>
      <w:r>
        <w:rPr>
          <w:rStyle w:val="16"/>
          <w:rFonts w:hint="eastAsia" w:ascii="仿宋_GB2312" w:hAnsi="仿宋_GB2312" w:eastAsia="仿宋_GB2312" w:cs="仿宋_GB2312"/>
          <w:b w:val="0"/>
          <w:bCs/>
          <w:color w:val="auto"/>
          <w:sz w:val="32"/>
          <w:szCs w:val="32"/>
          <w:highlight w:val="none"/>
        </w:rPr>
        <w:t xml:space="preserve"> 支出决算为</w:t>
      </w:r>
      <w:r>
        <w:rPr>
          <w:rFonts w:hint="eastAsia" w:cs="Times New Roman"/>
          <w:color w:val="000000"/>
          <w:sz w:val="32"/>
          <w:szCs w:val="32"/>
          <w:lang w:val="en-US" w:eastAsia="zh-CN"/>
        </w:rPr>
        <w:t>102.88</w:t>
      </w:r>
      <w:r>
        <w:rPr>
          <w:rFonts w:hint="eastAsia" w:ascii="Times New Roman" w:hAnsi="Times New Roman" w:eastAsia="仿宋_GB2312" w:cs="Times New Roman"/>
          <w:color w:val="000000"/>
          <w:sz w:val="32"/>
          <w:szCs w:val="32"/>
          <w:lang w:val="en-US" w:eastAsia="zh-CN"/>
        </w:rPr>
        <w:t>万元，完成预算</w:t>
      </w:r>
      <w:r>
        <w:rPr>
          <w:rFonts w:hint="eastAsia" w:cs="Times New Roman"/>
          <w:color w:val="000000"/>
          <w:sz w:val="32"/>
          <w:szCs w:val="32"/>
          <w:lang w:val="en-US" w:eastAsia="zh-CN"/>
        </w:rPr>
        <w:t>100</w:t>
      </w:r>
      <w:r>
        <w:rPr>
          <w:rFonts w:hint="eastAsia" w:ascii="Times New Roman" w:hAnsi="Times New Roman" w:eastAsia="仿宋_GB2312" w:cs="Times New Roman"/>
          <w:color w:val="000000"/>
          <w:sz w:val="32"/>
          <w:szCs w:val="32"/>
          <w:lang w:val="en-US" w:eastAsia="zh-CN"/>
        </w:rPr>
        <w:t>%，决算数等于预算数。</w:t>
      </w:r>
    </w:p>
    <w:p w14:paraId="1E08EAA0">
      <w:pPr>
        <w:pageBreakBefore w:val="0"/>
        <w:kinsoku/>
        <w:wordWrap/>
        <w:overflowPunct/>
        <w:topLinePunct w:val="0"/>
        <w:bidi w:val="0"/>
        <w:spacing w:line="560" w:lineRule="exact"/>
        <w:ind w:firstLine="643" w:firstLineChars="200"/>
        <w:textAlignment w:val="auto"/>
        <w:rPr>
          <w:rFonts w:hint="eastAsia" w:ascii="Times New Roman" w:hAnsi="Times New Roman" w:eastAsia="仿宋_GB2312" w:cs="Times New Roman"/>
          <w:color w:val="000000"/>
          <w:sz w:val="32"/>
          <w:szCs w:val="32"/>
          <w:lang w:val="en-US" w:eastAsia="zh-CN"/>
        </w:rPr>
      </w:pPr>
      <w:r>
        <w:rPr>
          <w:rStyle w:val="16"/>
          <w:rFonts w:hint="eastAsia" w:ascii="仿宋_GB2312" w:hAnsi="仿宋_GB2312" w:eastAsia="仿宋_GB2312" w:cs="仿宋_GB2312"/>
          <w:bCs/>
          <w:color w:val="auto"/>
          <w:sz w:val="32"/>
          <w:szCs w:val="32"/>
          <w:highlight w:val="none"/>
        </w:rPr>
        <w:t>5.社会保障和就业（类）</w:t>
      </w:r>
      <w:r>
        <w:rPr>
          <w:rStyle w:val="16"/>
          <w:rFonts w:hint="eastAsia" w:ascii="仿宋_GB2312" w:hAnsi="仿宋_GB2312" w:cs="仿宋_GB2312"/>
          <w:bCs/>
          <w:color w:val="auto"/>
          <w:sz w:val="32"/>
          <w:szCs w:val="32"/>
          <w:lang w:eastAsia="zh-CN"/>
        </w:rPr>
        <w:t>行政事业单位养老支出</w:t>
      </w:r>
      <w:r>
        <w:rPr>
          <w:rStyle w:val="16"/>
          <w:rFonts w:hint="eastAsia" w:ascii="仿宋_GB2312" w:hAnsi="仿宋_GB2312" w:eastAsia="仿宋_GB2312" w:cs="仿宋_GB2312"/>
          <w:bCs/>
          <w:color w:val="auto"/>
          <w:sz w:val="32"/>
          <w:szCs w:val="32"/>
          <w:highlight w:val="none"/>
        </w:rPr>
        <w:t>（款）</w:t>
      </w:r>
      <w:r>
        <w:rPr>
          <w:rStyle w:val="16"/>
          <w:rFonts w:hint="eastAsia" w:ascii="仿宋_GB2312" w:hAnsi="仿宋_GB2312" w:cs="仿宋_GB2312"/>
          <w:bCs/>
          <w:color w:val="auto"/>
          <w:sz w:val="32"/>
          <w:szCs w:val="32"/>
          <w:lang w:eastAsia="zh-CN"/>
        </w:rPr>
        <w:t>机关事业单位职业年金缴费支出</w:t>
      </w:r>
      <w:r>
        <w:rPr>
          <w:rStyle w:val="16"/>
          <w:rFonts w:hint="eastAsia" w:ascii="仿宋_GB2312" w:hAnsi="仿宋_GB2312" w:eastAsia="仿宋_GB2312" w:cs="仿宋_GB2312"/>
          <w:bCs/>
          <w:color w:val="auto"/>
          <w:sz w:val="32"/>
          <w:szCs w:val="32"/>
          <w:highlight w:val="none"/>
        </w:rPr>
        <w:t>（项）:</w:t>
      </w:r>
      <w:r>
        <w:rPr>
          <w:rStyle w:val="16"/>
          <w:rFonts w:hint="eastAsia" w:ascii="仿宋_GB2312" w:hAnsi="仿宋_GB2312" w:eastAsia="仿宋_GB2312" w:cs="仿宋_GB2312"/>
          <w:b w:val="0"/>
          <w:bCs/>
          <w:color w:val="auto"/>
          <w:sz w:val="32"/>
          <w:szCs w:val="32"/>
          <w:highlight w:val="none"/>
        </w:rPr>
        <w:t xml:space="preserve"> 支出决算为</w:t>
      </w:r>
      <w:r>
        <w:rPr>
          <w:rFonts w:hint="eastAsia" w:cs="Times New Roman"/>
          <w:color w:val="000000"/>
          <w:sz w:val="32"/>
          <w:szCs w:val="32"/>
          <w:lang w:val="en-US" w:eastAsia="zh-CN"/>
        </w:rPr>
        <w:t>9.77</w:t>
      </w:r>
      <w:r>
        <w:rPr>
          <w:rFonts w:hint="eastAsia" w:ascii="Times New Roman" w:hAnsi="Times New Roman" w:eastAsia="仿宋_GB2312" w:cs="Times New Roman"/>
          <w:color w:val="000000"/>
          <w:sz w:val="32"/>
          <w:szCs w:val="32"/>
          <w:lang w:val="en-US" w:eastAsia="zh-CN"/>
        </w:rPr>
        <w:t>万元，完成预算</w:t>
      </w:r>
      <w:r>
        <w:rPr>
          <w:rFonts w:hint="eastAsia" w:cs="Times New Roman"/>
          <w:color w:val="000000"/>
          <w:sz w:val="32"/>
          <w:szCs w:val="32"/>
          <w:lang w:val="en-US" w:eastAsia="zh-CN"/>
        </w:rPr>
        <w:t>100</w:t>
      </w:r>
      <w:r>
        <w:rPr>
          <w:rFonts w:hint="eastAsia" w:ascii="Times New Roman" w:hAnsi="Times New Roman" w:eastAsia="仿宋_GB2312" w:cs="Times New Roman"/>
          <w:color w:val="000000"/>
          <w:sz w:val="32"/>
          <w:szCs w:val="32"/>
          <w:lang w:val="en-US" w:eastAsia="zh-CN"/>
        </w:rPr>
        <w:t>%，决算数等于预算数。</w:t>
      </w:r>
    </w:p>
    <w:p w14:paraId="033EC90E">
      <w:pPr>
        <w:pageBreakBefore w:val="0"/>
        <w:kinsoku/>
        <w:wordWrap/>
        <w:overflowPunct/>
        <w:topLinePunct w:val="0"/>
        <w:bidi w:val="0"/>
        <w:spacing w:line="560" w:lineRule="exact"/>
        <w:ind w:firstLine="643" w:firstLineChars="200"/>
        <w:textAlignment w:val="auto"/>
        <w:rPr>
          <w:rFonts w:ascii="仿宋" w:hAnsi="仿宋" w:eastAsia="仿宋"/>
          <w:color w:val="000000"/>
          <w:sz w:val="32"/>
          <w:szCs w:val="32"/>
        </w:rPr>
      </w:pPr>
      <w:r>
        <w:rPr>
          <w:rStyle w:val="16"/>
          <w:rFonts w:hint="eastAsia" w:ascii="仿宋_GB2312" w:hAnsi="仿宋_GB2312" w:eastAsia="仿宋_GB2312" w:cs="仿宋_GB2312"/>
          <w:bCs/>
          <w:color w:val="auto"/>
          <w:sz w:val="32"/>
          <w:szCs w:val="32"/>
          <w:highlight w:val="none"/>
        </w:rPr>
        <w:t>6.</w:t>
      </w:r>
      <w:r>
        <w:rPr>
          <w:rFonts w:hint="eastAsia" w:ascii="仿宋_GB2312" w:hAnsi="仿宋_GB2312" w:eastAsia="仿宋_GB2312" w:cs="仿宋_GB2312"/>
          <w:b/>
          <w:bCs/>
          <w:color w:val="auto"/>
          <w:sz w:val="32"/>
          <w:szCs w:val="32"/>
          <w:highlight w:val="none"/>
        </w:rPr>
        <w:t>卫生健康</w:t>
      </w:r>
      <w:r>
        <w:rPr>
          <w:rStyle w:val="16"/>
          <w:rFonts w:hint="eastAsia" w:ascii="仿宋_GB2312" w:hAnsi="仿宋_GB2312" w:eastAsia="仿宋_GB2312" w:cs="仿宋_GB2312"/>
          <w:bCs/>
          <w:color w:val="auto"/>
          <w:sz w:val="32"/>
          <w:szCs w:val="32"/>
          <w:highlight w:val="none"/>
        </w:rPr>
        <w:t>（类）</w:t>
      </w:r>
      <w:r>
        <w:rPr>
          <w:rStyle w:val="16"/>
          <w:rFonts w:hint="eastAsia" w:ascii="仿宋_GB2312" w:hAnsi="仿宋_GB2312" w:cs="仿宋_GB2312"/>
          <w:bCs/>
          <w:color w:val="auto"/>
          <w:sz w:val="32"/>
          <w:szCs w:val="32"/>
          <w:highlight w:val="none"/>
          <w:lang w:val="en-US" w:eastAsia="zh-CN"/>
        </w:rPr>
        <w:t>行政事业单位医疗</w:t>
      </w:r>
      <w:r>
        <w:rPr>
          <w:rStyle w:val="16"/>
          <w:rFonts w:hint="eastAsia" w:ascii="仿宋_GB2312" w:hAnsi="仿宋_GB2312" w:eastAsia="仿宋_GB2312" w:cs="仿宋_GB2312"/>
          <w:bCs/>
          <w:color w:val="auto"/>
          <w:sz w:val="32"/>
          <w:szCs w:val="32"/>
          <w:highlight w:val="none"/>
        </w:rPr>
        <w:t>（款）</w:t>
      </w:r>
      <w:r>
        <w:rPr>
          <w:rStyle w:val="16"/>
          <w:rFonts w:hint="eastAsia" w:ascii="仿宋_GB2312" w:hAnsi="仿宋_GB2312" w:cs="仿宋_GB2312"/>
          <w:bCs/>
          <w:color w:val="auto"/>
          <w:sz w:val="32"/>
          <w:szCs w:val="32"/>
          <w:highlight w:val="none"/>
          <w:lang w:val="en-US" w:eastAsia="zh-CN"/>
        </w:rPr>
        <w:t>行政单位医疗</w:t>
      </w:r>
      <w:r>
        <w:rPr>
          <w:rStyle w:val="16"/>
          <w:rFonts w:hint="eastAsia" w:ascii="仿宋_GB2312" w:hAnsi="仿宋_GB2312" w:eastAsia="仿宋_GB2312" w:cs="仿宋_GB2312"/>
          <w:bCs/>
          <w:color w:val="auto"/>
          <w:sz w:val="32"/>
          <w:szCs w:val="32"/>
          <w:highlight w:val="none"/>
        </w:rPr>
        <w:t>（项）:</w:t>
      </w:r>
      <w:r>
        <w:rPr>
          <w:rStyle w:val="16"/>
          <w:rFonts w:hint="eastAsia" w:ascii="仿宋_GB2312" w:hAnsi="仿宋_GB2312" w:eastAsia="仿宋_GB2312" w:cs="仿宋_GB2312"/>
          <w:b w:val="0"/>
          <w:bCs/>
          <w:color w:val="auto"/>
          <w:sz w:val="32"/>
          <w:szCs w:val="32"/>
          <w:highlight w:val="none"/>
        </w:rPr>
        <w:t>支出决算为</w:t>
      </w:r>
      <w:r>
        <w:rPr>
          <w:rFonts w:hint="eastAsia" w:cs="Times New Roman"/>
          <w:color w:val="000000"/>
          <w:sz w:val="32"/>
          <w:szCs w:val="32"/>
          <w:lang w:val="en-US" w:eastAsia="zh-CN"/>
        </w:rPr>
        <w:t>34.44</w:t>
      </w:r>
      <w:r>
        <w:rPr>
          <w:rFonts w:hint="eastAsia" w:ascii="Times New Roman" w:hAnsi="Times New Roman" w:eastAsia="仿宋_GB2312" w:cs="Times New Roman"/>
          <w:color w:val="000000"/>
          <w:sz w:val="32"/>
          <w:szCs w:val="32"/>
          <w:lang w:val="en-US" w:eastAsia="zh-CN"/>
        </w:rPr>
        <w:t>万元，完成预算</w:t>
      </w:r>
      <w:r>
        <w:rPr>
          <w:rFonts w:hint="eastAsia" w:cs="Times New Roman"/>
          <w:color w:val="000000"/>
          <w:sz w:val="32"/>
          <w:szCs w:val="32"/>
          <w:lang w:val="en-US" w:eastAsia="zh-CN"/>
        </w:rPr>
        <w:t>100</w:t>
      </w:r>
      <w:r>
        <w:rPr>
          <w:rFonts w:hint="eastAsia" w:ascii="Times New Roman" w:hAnsi="Times New Roman" w:eastAsia="仿宋_GB2312" w:cs="Times New Roman"/>
          <w:color w:val="000000"/>
          <w:sz w:val="32"/>
          <w:szCs w:val="32"/>
          <w:lang w:val="en-US" w:eastAsia="zh-CN"/>
        </w:rPr>
        <w:t>%，决算数等于预算数。</w:t>
      </w:r>
    </w:p>
    <w:p w14:paraId="4B3ED9E4">
      <w:pPr>
        <w:pageBreakBefore w:val="0"/>
        <w:kinsoku/>
        <w:wordWrap/>
        <w:overflowPunct/>
        <w:topLinePunct w:val="0"/>
        <w:bidi w:val="0"/>
        <w:spacing w:line="560" w:lineRule="exact"/>
        <w:ind w:firstLine="643" w:firstLineChars="200"/>
        <w:textAlignment w:val="auto"/>
      </w:pPr>
      <w:r>
        <w:rPr>
          <w:rStyle w:val="16"/>
          <w:rFonts w:hint="eastAsia" w:ascii="仿宋_GB2312" w:hAnsi="仿宋_GB2312" w:cs="仿宋_GB2312"/>
          <w:bCs/>
          <w:color w:val="auto"/>
          <w:sz w:val="32"/>
          <w:szCs w:val="32"/>
          <w:highlight w:val="none"/>
          <w:lang w:val="en-US" w:eastAsia="zh-CN"/>
        </w:rPr>
        <w:t>7</w:t>
      </w:r>
      <w:r>
        <w:rPr>
          <w:rStyle w:val="16"/>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
          <w:bCs/>
          <w:color w:val="auto"/>
          <w:sz w:val="32"/>
          <w:szCs w:val="32"/>
          <w:highlight w:val="none"/>
        </w:rPr>
        <w:t>卫生健康</w:t>
      </w:r>
      <w:r>
        <w:rPr>
          <w:rStyle w:val="16"/>
          <w:rFonts w:hint="eastAsia" w:ascii="仿宋_GB2312" w:hAnsi="仿宋_GB2312" w:eastAsia="仿宋_GB2312" w:cs="仿宋_GB2312"/>
          <w:bCs/>
          <w:color w:val="auto"/>
          <w:sz w:val="32"/>
          <w:szCs w:val="32"/>
          <w:highlight w:val="none"/>
        </w:rPr>
        <w:t>（类）</w:t>
      </w:r>
      <w:r>
        <w:rPr>
          <w:rStyle w:val="16"/>
          <w:rFonts w:hint="eastAsia" w:ascii="仿宋_GB2312" w:hAnsi="仿宋_GB2312" w:cs="仿宋_GB2312"/>
          <w:bCs/>
          <w:color w:val="auto"/>
          <w:sz w:val="32"/>
          <w:szCs w:val="32"/>
          <w:highlight w:val="none"/>
          <w:lang w:val="en-US" w:eastAsia="zh-CN"/>
        </w:rPr>
        <w:t>行政事业单位医疗</w:t>
      </w:r>
      <w:r>
        <w:rPr>
          <w:rStyle w:val="16"/>
          <w:rFonts w:hint="eastAsia" w:ascii="仿宋_GB2312" w:hAnsi="仿宋_GB2312" w:eastAsia="仿宋_GB2312" w:cs="仿宋_GB2312"/>
          <w:bCs/>
          <w:color w:val="auto"/>
          <w:sz w:val="32"/>
          <w:szCs w:val="32"/>
          <w:highlight w:val="none"/>
        </w:rPr>
        <w:t>（款）</w:t>
      </w:r>
      <w:r>
        <w:rPr>
          <w:rStyle w:val="16"/>
          <w:rFonts w:hint="eastAsia" w:ascii="仿宋_GB2312" w:hAnsi="仿宋_GB2312" w:cs="仿宋_GB2312"/>
          <w:bCs/>
          <w:color w:val="auto"/>
          <w:sz w:val="32"/>
          <w:szCs w:val="32"/>
          <w:lang w:eastAsia="zh-CN"/>
        </w:rPr>
        <w:t>公务员医疗补助</w:t>
      </w:r>
      <w:r>
        <w:rPr>
          <w:rStyle w:val="16"/>
          <w:rFonts w:hint="eastAsia" w:ascii="仿宋_GB2312" w:hAnsi="仿宋_GB2312" w:eastAsia="仿宋_GB2312" w:cs="仿宋_GB2312"/>
          <w:bCs/>
          <w:color w:val="auto"/>
          <w:sz w:val="32"/>
          <w:szCs w:val="32"/>
          <w:highlight w:val="none"/>
        </w:rPr>
        <w:t>（项）:</w:t>
      </w:r>
      <w:r>
        <w:rPr>
          <w:rStyle w:val="16"/>
          <w:rFonts w:hint="eastAsia" w:ascii="仿宋_GB2312" w:hAnsi="仿宋_GB2312" w:eastAsia="仿宋_GB2312" w:cs="仿宋_GB2312"/>
          <w:b w:val="0"/>
          <w:bCs/>
          <w:color w:val="auto"/>
          <w:sz w:val="32"/>
          <w:szCs w:val="32"/>
          <w:highlight w:val="none"/>
        </w:rPr>
        <w:t>支出决算为</w:t>
      </w:r>
      <w:r>
        <w:rPr>
          <w:rFonts w:hint="eastAsia" w:cs="Times New Roman"/>
          <w:color w:val="000000"/>
          <w:sz w:val="32"/>
          <w:szCs w:val="32"/>
          <w:lang w:val="en-US" w:eastAsia="zh-CN"/>
        </w:rPr>
        <w:t>11.85</w:t>
      </w:r>
      <w:r>
        <w:rPr>
          <w:rFonts w:hint="eastAsia" w:ascii="Times New Roman" w:hAnsi="Times New Roman" w:eastAsia="仿宋_GB2312" w:cs="Times New Roman"/>
          <w:color w:val="000000"/>
          <w:sz w:val="32"/>
          <w:szCs w:val="32"/>
          <w:lang w:val="en-US" w:eastAsia="zh-CN"/>
        </w:rPr>
        <w:t>万元，完成预算</w:t>
      </w:r>
      <w:r>
        <w:rPr>
          <w:rFonts w:hint="eastAsia" w:cs="Times New Roman"/>
          <w:color w:val="000000"/>
          <w:sz w:val="32"/>
          <w:szCs w:val="32"/>
          <w:lang w:val="en-US" w:eastAsia="zh-CN"/>
        </w:rPr>
        <w:t>100</w:t>
      </w:r>
      <w:r>
        <w:rPr>
          <w:rFonts w:hint="eastAsia" w:ascii="Times New Roman" w:hAnsi="Times New Roman" w:eastAsia="仿宋_GB2312" w:cs="Times New Roman"/>
          <w:color w:val="000000"/>
          <w:sz w:val="32"/>
          <w:szCs w:val="32"/>
          <w:lang w:val="en-US" w:eastAsia="zh-CN"/>
        </w:rPr>
        <w:t>%，决算数等于预算数。</w:t>
      </w:r>
    </w:p>
    <w:p w14:paraId="6CEA5AB4">
      <w:pPr>
        <w:pageBreakBefore w:val="0"/>
        <w:kinsoku/>
        <w:wordWrap/>
        <w:overflowPunct/>
        <w:topLinePunct w:val="0"/>
        <w:bidi w:val="0"/>
        <w:spacing w:line="560" w:lineRule="exact"/>
        <w:ind w:firstLine="643" w:firstLineChars="200"/>
        <w:textAlignment w:val="auto"/>
        <w:rPr>
          <w:rFonts w:ascii="仿宋" w:hAnsi="仿宋" w:eastAsia="仿宋"/>
          <w:b/>
          <w:color w:val="000000"/>
          <w:sz w:val="32"/>
          <w:szCs w:val="32"/>
        </w:rPr>
      </w:pPr>
      <w:r>
        <w:rPr>
          <w:rStyle w:val="16"/>
          <w:rFonts w:hint="eastAsia" w:ascii="仿宋_GB2312" w:hAnsi="仿宋_GB2312" w:cs="仿宋_GB2312"/>
          <w:bCs/>
          <w:color w:val="auto"/>
          <w:sz w:val="32"/>
          <w:szCs w:val="32"/>
          <w:highlight w:val="none"/>
          <w:lang w:val="en-US" w:eastAsia="zh-CN"/>
        </w:rPr>
        <w:t>8</w:t>
      </w:r>
      <w:r>
        <w:rPr>
          <w:rStyle w:val="16"/>
          <w:rFonts w:hint="eastAsia" w:ascii="仿宋_GB2312" w:hAnsi="仿宋_GB2312" w:eastAsia="仿宋_GB2312" w:cs="仿宋_GB2312"/>
          <w:bCs/>
          <w:color w:val="auto"/>
          <w:sz w:val="32"/>
          <w:szCs w:val="32"/>
          <w:highlight w:val="none"/>
        </w:rPr>
        <w:t>.</w:t>
      </w:r>
      <w:r>
        <w:rPr>
          <w:rFonts w:hint="eastAsia" w:ascii="仿宋_GB2312" w:hAnsi="仿宋_GB2312" w:cs="仿宋_GB2312"/>
          <w:b/>
          <w:bCs/>
          <w:color w:val="auto"/>
          <w:sz w:val="32"/>
          <w:szCs w:val="32"/>
          <w:lang w:eastAsia="zh-CN"/>
        </w:rPr>
        <w:t>住房保障支出</w:t>
      </w:r>
      <w:r>
        <w:rPr>
          <w:rStyle w:val="16"/>
          <w:rFonts w:hint="eastAsia" w:ascii="仿宋_GB2312" w:hAnsi="仿宋_GB2312" w:eastAsia="仿宋_GB2312" w:cs="仿宋_GB2312"/>
          <w:bCs/>
          <w:color w:val="auto"/>
          <w:sz w:val="32"/>
          <w:szCs w:val="32"/>
          <w:highlight w:val="none"/>
        </w:rPr>
        <w:t>（类）</w:t>
      </w:r>
      <w:r>
        <w:rPr>
          <w:rStyle w:val="16"/>
          <w:rFonts w:hint="eastAsia" w:ascii="仿宋_GB2312" w:hAnsi="仿宋_GB2312" w:cs="仿宋_GB2312"/>
          <w:bCs/>
          <w:color w:val="auto"/>
          <w:sz w:val="32"/>
          <w:szCs w:val="32"/>
          <w:lang w:eastAsia="zh-CN"/>
        </w:rPr>
        <w:t>住房改革支出</w:t>
      </w:r>
      <w:r>
        <w:rPr>
          <w:rStyle w:val="16"/>
          <w:rFonts w:hint="eastAsia" w:ascii="仿宋_GB2312" w:hAnsi="仿宋_GB2312" w:eastAsia="仿宋_GB2312" w:cs="仿宋_GB2312"/>
          <w:bCs/>
          <w:color w:val="auto"/>
          <w:sz w:val="32"/>
          <w:szCs w:val="32"/>
          <w:highlight w:val="none"/>
        </w:rPr>
        <w:t>（款）</w:t>
      </w:r>
      <w:r>
        <w:rPr>
          <w:rStyle w:val="16"/>
          <w:rFonts w:hint="eastAsia" w:ascii="仿宋_GB2312" w:hAnsi="仿宋_GB2312" w:cs="仿宋_GB2312"/>
          <w:bCs/>
          <w:color w:val="auto"/>
          <w:sz w:val="32"/>
          <w:szCs w:val="32"/>
          <w:lang w:eastAsia="zh-CN"/>
        </w:rPr>
        <w:t>住房公积金</w:t>
      </w:r>
      <w:r>
        <w:rPr>
          <w:rStyle w:val="16"/>
          <w:rFonts w:hint="eastAsia" w:ascii="仿宋_GB2312" w:hAnsi="仿宋_GB2312" w:eastAsia="仿宋_GB2312" w:cs="仿宋_GB2312"/>
          <w:bCs/>
          <w:color w:val="auto"/>
          <w:sz w:val="32"/>
          <w:szCs w:val="32"/>
          <w:highlight w:val="none"/>
        </w:rPr>
        <w:t>（项）:</w:t>
      </w:r>
      <w:r>
        <w:rPr>
          <w:rStyle w:val="16"/>
          <w:rFonts w:hint="eastAsia" w:ascii="仿宋_GB2312" w:hAnsi="仿宋_GB2312" w:eastAsia="仿宋_GB2312" w:cs="仿宋_GB2312"/>
          <w:b w:val="0"/>
          <w:bCs/>
          <w:color w:val="auto"/>
          <w:sz w:val="32"/>
          <w:szCs w:val="32"/>
          <w:highlight w:val="none"/>
        </w:rPr>
        <w:t>支出决算为</w:t>
      </w:r>
      <w:r>
        <w:rPr>
          <w:rFonts w:hint="eastAsia" w:cs="Times New Roman"/>
          <w:color w:val="000000"/>
          <w:sz w:val="32"/>
          <w:szCs w:val="32"/>
          <w:lang w:val="en-US" w:eastAsia="zh-CN"/>
        </w:rPr>
        <w:t>99.37</w:t>
      </w:r>
      <w:r>
        <w:rPr>
          <w:rFonts w:hint="eastAsia" w:ascii="Times New Roman" w:hAnsi="Times New Roman" w:eastAsia="仿宋_GB2312" w:cs="Times New Roman"/>
          <w:color w:val="000000"/>
          <w:sz w:val="32"/>
          <w:szCs w:val="32"/>
          <w:lang w:val="en-US" w:eastAsia="zh-CN"/>
        </w:rPr>
        <w:t>万元，完成预算</w:t>
      </w:r>
      <w:r>
        <w:rPr>
          <w:rFonts w:hint="eastAsia" w:cs="Times New Roman"/>
          <w:color w:val="000000"/>
          <w:sz w:val="32"/>
          <w:szCs w:val="32"/>
          <w:lang w:val="en-US" w:eastAsia="zh-CN"/>
        </w:rPr>
        <w:t>100</w:t>
      </w:r>
      <w:r>
        <w:rPr>
          <w:rFonts w:hint="eastAsia" w:ascii="Times New Roman" w:hAnsi="Times New Roman" w:eastAsia="仿宋_GB2312" w:cs="Times New Roman"/>
          <w:color w:val="000000"/>
          <w:sz w:val="32"/>
          <w:szCs w:val="32"/>
          <w:lang w:val="en-US" w:eastAsia="zh-CN"/>
        </w:rPr>
        <w:t>%，决算数等于预算数。</w:t>
      </w:r>
    </w:p>
    <w:p w14:paraId="7CE4C93F">
      <w:pPr>
        <w:pageBreakBefore w:val="0"/>
        <w:tabs>
          <w:tab w:val="right" w:pos="8306"/>
        </w:tabs>
        <w:kinsoku/>
        <w:wordWrap/>
        <w:overflowPunct/>
        <w:topLinePunct w:val="0"/>
        <w:bidi w:val="0"/>
        <w:spacing w:line="560" w:lineRule="exact"/>
        <w:ind w:firstLine="640"/>
        <w:textAlignment w:val="auto"/>
        <w:outlineLvl w:val="1"/>
        <w:rPr>
          <w:rStyle w:val="19"/>
        </w:rPr>
      </w:pPr>
      <w:bookmarkStart w:id="31" w:name="_Toc15377214"/>
      <w:bookmarkStart w:id="32" w:name="_Toc15396608"/>
      <w:bookmarkStart w:id="33" w:name="_Toc3138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9"/>
          <w:rFonts w:hint="eastAsia" w:ascii="黑体" w:hAnsi="黑体" w:eastAsia="黑体"/>
          <w:b w:val="0"/>
        </w:rPr>
        <w:t>般公共预算财政拨款基本支出决算情况说明</w:t>
      </w:r>
      <w:bookmarkEnd w:id="31"/>
      <w:bookmarkEnd w:id="32"/>
      <w:bookmarkEnd w:id="33"/>
      <w:r>
        <w:rPr>
          <w:rStyle w:val="19"/>
          <w:rFonts w:ascii="黑体" w:hAnsi="黑体" w:eastAsia="黑体"/>
          <w:b w:val="0"/>
        </w:rPr>
        <w:tab/>
      </w:r>
    </w:p>
    <w:p w14:paraId="196E0478">
      <w:pPr>
        <w:pageBreakBefore w:val="0"/>
        <w:kinsoku/>
        <w:wordWrap/>
        <w:overflowPunct/>
        <w:topLinePunct w:val="0"/>
        <w:bidi w:val="0"/>
        <w:spacing w:line="560" w:lineRule="exact"/>
        <w:ind w:firstLine="645"/>
        <w:textAlignment w:val="auto"/>
        <w:rPr>
          <w:rFonts w:hint="eastAsia" w:ascii="仿宋_GB2312" w:hAnsi="仿宋_GB2312" w:eastAsia="仿宋_GB2312" w:cs="仿宋_GB2312"/>
          <w:color w:val="auto"/>
          <w:sz w:val="32"/>
          <w:szCs w:val="32"/>
          <w:highlight w:val="none"/>
        </w:rPr>
      </w:pPr>
      <w:r>
        <w:rPr>
          <w:rFonts w:hint="eastAsia" w:cs="Times New Roman"/>
          <w:color w:val="000000"/>
          <w:sz w:val="32"/>
          <w:szCs w:val="32"/>
          <w:lang w:val="en-US" w:eastAsia="zh-CN"/>
        </w:rPr>
        <w:t>2023年一般公共预算财政拨款基本支出1070.27万元</w:t>
      </w:r>
      <w:r>
        <w:rPr>
          <w:rFonts w:hint="eastAsia" w:ascii="仿宋_GB2312" w:hAnsi="仿宋_GB2312" w:eastAsia="仿宋_GB2312" w:cs="仿宋_GB2312"/>
          <w:color w:val="auto"/>
          <w:sz w:val="32"/>
          <w:szCs w:val="32"/>
          <w:highlight w:val="none"/>
        </w:rPr>
        <w:t>，其中：</w:t>
      </w:r>
    </w:p>
    <w:p w14:paraId="22E2F3BB">
      <w:pPr>
        <w:pageBreakBefore w:val="0"/>
        <w:kinsoku/>
        <w:wordWrap/>
        <w:overflowPunct/>
        <w:topLinePunct w:val="0"/>
        <w:bidi w:val="0"/>
        <w:spacing w:line="560" w:lineRule="exact"/>
        <w:ind w:firstLine="645"/>
        <w:textAlignment w:val="auto"/>
        <w:rPr>
          <w:rFonts w:ascii="仿宋" w:hAnsi="仿宋" w:eastAsia="仿宋"/>
          <w:b/>
          <w:color w:val="FF0000"/>
          <w:sz w:val="32"/>
          <w:szCs w:val="32"/>
        </w:rPr>
      </w:pPr>
      <w:r>
        <w:rPr>
          <w:rFonts w:hint="eastAsia" w:ascii="仿宋_GB2312" w:hAnsi="仿宋_GB2312" w:eastAsia="仿宋_GB2312" w:cs="仿宋_GB2312"/>
          <w:color w:val="auto"/>
          <w:sz w:val="32"/>
          <w:szCs w:val="32"/>
          <w:highlight w:val="none"/>
        </w:rPr>
        <w:t>人员经费</w:t>
      </w:r>
      <w:r>
        <w:rPr>
          <w:rFonts w:hint="eastAsia" w:cs="Times New Roman"/>
          <w:color w:val="000000"/>
          <w:sz w:val="32"/>
          <w:szCs w:val="32"/>
          <w:lang w:val="en-US" w:eastAsia="zh-CN"/>
        </w:rPr>
        <w:t>859.79</w:t>
      </w:r>
      <w:r>
        <w:rPr>
          <w:rFonts w:hint="eastAsia" w:ascii="仿宋_GB2312" w:hAnsi="仿宋_GB2312" w:eastAsia="仿宋_GB2312" w:cs="仿宋_GB2312"/>
          <w:color w:val="auto"/>
          <w:sz w:val="32"/>
          <w:szCs w:val="32"/>
          <w:highlight w:val="none"/>
        </w:rPr>
        <w:t>万元，主要包括：基本工资、津贴补贴、奖金、机关事业单位基本养老保险缴费、职业年金缴费、</w:t>
      </w:r>
      <w:r>
        <w:rPr>
          <w:rFonts w:hint="eastAsia" w:ascii="仿宋_GB2312" w:hAnsi="仿宋_GB2312" w:cs="仿宋_GB2312"/>
          <w:color w:val="auto"/>
          <w:sz w:val="32"/>
          <w:szCs w:val="32"/>
          <w:highlight w:val="none"/>
          <w:lang w:val="en-US" w:eastAsia="zh-CN"/>
        </w:rPr>
        <w:t>职工基本医疗保险</w:t>
      </w:r>
      <w:r>
        <w:rPr>
          <w:rFonts w:hint="eastAsia" w:ascii="仿宋_GB2312" w:hAnsi="仿宋_GB2312" w:eastAsia="仿宋_GB2312" w:cs="仿宋_GB2312"/>
          <w:color w:val="auto"/>
          <w:sz w:val="32"/>
          <w:szCs w:val="32"/>
          <w:highlight w:val="none"/>
        </w:rPr>
        <w:t>缴费、</w:t>
      </w:r>
      <w:r>
        <w:rPr>
          <w:rFonts w:hint="eastAsia" w:ascii="仿宋_GB2312" w:hAnsi="仿宋_GB2312" w:cs="仿宋_GB2312"/>
          <w:color w:val="auto"/>
          <w:sz w:val="32"/>
          <w:szCs w:val="32"/>
          <w:highlight w:val="none"/>
          <w:lang w:val="en-US" w:eastAsia="zh-CN"/>
        </w:rPr>
        <w:t>公务员医疗补助缴费、</w:t>
      </w:r>
      <w:r>
        <w:rPr>
          <w:rFonts w:hint="eastAsia" w:ascii="仿宋_GB2312" w:hAnsi="仿宋_GB2312" w:eastAsia="仿宋_GB2312" w:cs="仿宋_GB2312"/>
          <w:color w:val="auto"/>
          <w:sz w:val="32"/>
          <w:szCs w:val="32"/>
          <w:highlight w:val="none"/>
        </w:rPr>
        <w:t>其他工资福利支出、住房公积金</w:t>
      </w: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退休费</w:t>
      </w:r>
      <w:r>
        <w:rPr>
          <w:rFonts w:hint="eastAsia" w:ascii="仿宋_GB2312" w:hAnsi="仿宋_GB2312" w:eastAsia="仿宋_GB2312" w:cs="仿宋_GB2312"/>
          <w:color w:val="auto"/>
          <w:sz w:val="32"/>
          <w:szCs w:val="32"/>
          <w:highlight w:val="none"/>
        </w:rPr>
        <w:t>等</w:t>
      </w:r>
      <w:r>
        <w:rPr>
          <w:rFonts w:hint="eastAsia" w:ascii="仿宋_GB2312" w:hAnsi="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br w:type="textWrapping"/>
      </w:r>
      <w:r>
        <w:rPr>
          <w:rFonts w:hint="eastAsia" w:ascii="仿宋_GB2312" w:hAnsi="仿宋_GB2312" w:eastAsia="仿宋_GB2312" w:cs="仿宋_GB2312"/>
          <w:color w:val="auto"/>
          <w:sz w:val="32"/>
          <w:szCs w:val="32"/>
          <w:highlight w:val="none"/>
        </w:rPr>
        <w:t>　　公用经费</w:t>
      </w:r>
      <w:r>
        <w:rPr>
          <w:rFonts w:hint="eastAsia" w:cs="Times New Roman"/>
          <w:color w:val="000000"/>
          <w:sz w:val="32"/>
          <w:szCs w:val="32"/>
          <w:lang w:val="en-US" w:eastAsia="zh-CN"/>
        </w:rPr>
        <w:t>210.48</w:t>
      </w:r>
      <w:r>
        <w:rPr>
          <w:rFonts w:hint="eastAsia" w:ascii="仿宋_GB2312" w:hAnsi="仿宋_GB2312" w:eastAsia="仿宋_GB2312" w:cs="仿宋_GB2312"/>
          <w:color w:val="auto"/>
          <w:sz w:val="32"/>
          <w:szCs w:val="32"/>
          <w:highlight w:val="none"/>
        </w:rPr>
        <w:t>万元，主要包括：办公费、</w:t>
      </w:r>
      <w:r>
        <w:rPr>
          <w:rFonts w:hint="eastAsia" w:ascii="仿宋_GB2312" w:hAnsi="仿宋_GB2312" w:cs="仿宋_GB2312"/>
          <w:color w:val="auto"/>
          <w:sz w:val="32"/>
          <w:szCs w:val="32"/>
          <w:highlight w:val="none"/>
          <w:lang w:val="en-US" w:eastAsia="zh-CN"/>
        </w:rPr>
        <w:t>印刷费、</w:t>
      </w:r>
      <w:r>
        <w:rPr>
          <w:rFonts w:hint="eastAsia" w:ascii="仿宋_GB2312" w:hAnsi="仿宋_GB2312" w:eastAsia="仿宋_GB2312" w:cs="仿宋_GB2312"/>
          <w:color w:val="auto"/>
          <w:sz w:val="32"/>
          <w:szCs w:val="32"/>
          <w:highlight w:val="none"/>
        </w:rPr>
        <w:t>水费、电费、邮电费、物业管理费、差旅费、维修（护）费、租赁费、培训费、公务接待费、劳务费、委托业务费、工会经费、公务用车运行维护费、其他交通费、其他商品和服务支出、其他资本性支出等。</w:t>
      </w:r>
    </w:p>
    <w:p w14:paraId="7961B3B0">
      <w:pPr>
        <w:pageBreakBefore w:val="0"/>
        <w:kinsoku/>
        <w:wordWrap/>
        <w:overflowPunct/>
        <w:topLinePunct w:val="0"/>
        <w:bidi w:val="0"/>
        <w:spacing w:line="560" w:lineRule="exact"/>
        <w:ind w:firstLine="640"/>
        <w:textAlignment w:val="auto"/>
        <w:outlineLvl w:val="1"/>
        <w:rPr>
          <w:rStyle w:val="19"/>
          <w:rFonts w:ascii="黑体" w:hAnsi="黑体" w:eastAsia="黑体"/>
          <w:b w:val="0"/>
        </w:rPr>
      </w:pPr>
      <w:bookmarkStart w:id="34" w:name="_Toc19233"/>
      <w:bookmarkStart w:id="35" w:name="_Toc15396609"/>
      <w:bookmarkStart w:id="36" w:name="_Toc15377215"/>
      <w:r>
        <w:rPr>
          <w:rFonts w:hint="eastAsia" w:ascii="黑体" w:eastAsia="黑体"/>
          <w:color w:val="000000"/>
          <w:sz w:val="32"/>
          <w:szCs w:val="32"/>
        </w:rPr>
        <w:t>七、</w:t>
      </w:r>
      <w:r>
        <w:rPr>
          <w:rStyle w:val="19"/>
          <w:rFonts w:hint="eastAsia" w:ascii="黑体" w:hAnsi="黑体" w:eastAsia="黑体"/>
        </w:rPr>
        <w:t>“</w:t>
      </w:r>
      <w:r>
        <w:rPr>
          <w:rStyle w:val="19"/>
          <w:rFonts w:hint="eastAsia" w:ascii="黑体" w:hAnsi="黑体" w:eastAsia="黑体"/>
          <w:b w:val="0"/>
        </w:rPr>
        <w:t>三公”经费财政拨款支出决算情况说明</w:t>
      </w:r>
      <w:bookmarkEnd w:id="34"/>
      <w:bookmarkEnd w:id="35"/>
      <w:bookmarkEnd w:id="36"/>
    </w:p>
    <w:p w14:paraId="1834A204">
      <w:pPr>
        <w:pageBreakBefore w:val="0"/>
        <w:kinsoku/>
        <w:wordWrap/>
        <w:overflowPunct/>
        <w:topLinePunct w:val="0"/>
        <w:bidi w:val="0"/>
        <w:spacing w:line="560" w:lineRule="exact"/>
        <w:ind w:firstLine="640"/>
        <w:textAlignment w:val="auto"/>
        <w:outlineLvl w:val="2"/>
        <w:rPr>
          <w:rFonts w:hint="eastAsia" w:ascii="仿宋_GB2312" w:hAnsi="仿宋_GB2312" w:eastAsia="仿宋_GB2312" w:cs="仿宋_GB2312"/>
          <w:b/>
          <w:color w:val="000000"/>
          <w:sz w:val="32"/>
          <w:szCs w:val="32"/>
        </w:rPr>
      </w:pPr>
      <w:bookmarkStart w:id="37" w:name="_Toc15377216"/>
      <w:r>
        <w:rPr>
          <w:rFonts w:hint="eastAsia" w:ascii="仿宋_GB2312" w:hAnsi="仿宋_GB2312" w:eastAsia="仿宋_GB2312" w:cs="仿宋_GB2312"/>
          <w:b/>
          <w:color w:val="000000"/>
          <w:sz w:val="32"/>
          <w:szCs w:val="32"/>
        </w:rPr>
        <w:t>（一）“三公”经费财政拨款支出决算总体情况说明</w:t>
      </w:r>
      <w:bookmarkEnd w:id="37"/>
    </w:p>
    <w:p w14:paraId="0E7D48FE">
      <w:pPr>
        <w:pageBreakBefore w:val="0"/>
        <w:kinsoku/>
        <w:wordWrap/>
        <w:overflowPunct/>
        <w:topLinePunct w:val="0"/>
        <w:bidi w:val="0"/>
        <w:spacing w:line="560" w:lineRule="exact"/>
        <w:ind w:firstLine="640"/>
        <w:jc w:val="both"/>
        <w:textAlignment w:val="auto"/>
        <w:rPr>
          <w:rFonts w:hint="eastAsia" w:cs="Times New Roman"/>
          <w:color w:val="000000"/>
          <w:sz w:val="32"/>
          <w:szCs w:val="32"/>
          <w:lang w:val="en-US" w:eastAsia="zh-CN"/>
        </w:rPr>
      </w:pPr>
      <w:r>
        <w:rPr>
          <w:rFonts w:hint="eastAsia" w:cs="Times New Roman"/>
          <w:color w:val="000000"/>
          <w:sz w:val="32"/>
          <w:szCs w:val="32"/>
          <w:lang w:val="en-US" w:eastAsia="zh-CN"/>
        </w:rPr>
        <w:t>2023年</w:t>
      </w:r>
      <w:r>
        <w:rPr>
          <w:rFonts w:hint="eastAsia" w:ascii="仿宋_GB2312" w:hAnsi="仿宋_GB2312" w:eastAsia="仿宋_GB2312" w:cs="仿宋_GB2312"/>
          <w:color w:val="auto"/>
          <w:sz w:val="32"/>
          <w:szCs w:val="32"/>
          <w:highlight w:val="none"/>
        </w:rPr>
        <w:t>“三公”经费财政拨款支出决算为</w:t>
      </w:r>
      <w:r>
        <w:rPr>
          <w:rFonts w:hint="eastAsia" w:cs="Times New Roman"/>
          <w:color w:val="000000"/>
          <w:sz w:val="32"/>
          <w:szCs w:val="32"/>
          <w:lang w:val="en-US" w:eastAsia="zh-CN"/>
        </w:rPr>
        <w:t>22.18万元，完成预算94.34%，较上年减少0.82万元，下降3.57%。决算数小于预算数的主要原因是</w:t>
      </w:r>
      <w:r>
        <w:rPr>
          <w:rFonts w:hint="eastAsia" w:ascii="仿宋_GB2312" w:hAnsi="仿宋_GB2312" w:cs="仿宋_GB2312"/>
          <w:color w:val="auto"/>
          <w:sz w:val="32"/>
          <w:szCs w:val="32"/>
          <w:highlight w:val="none"/>
          <w:lang w:val="en-US" w:eastAsia="zh-CN"/>
        </w:rPr>
        <w:t>严格落实八项规定，</w:t>
      </w:r>
      <w:r>
        <w:rPr>
          <w:rFonts w:hint="eastAsia" w:ascii="仿宋_GB2312" w:hAnsi="仿宋_GB2312" w:cs="仿宋_GB2312"/>
          <w:color w:val="auto"/>
          <w:sz w:val="32"/>
          <w:szCs w:val="32"/>
          <w:lang w:eastAsia="zh-CN"/>
        </w:rPr>
        <w:t>进一步压减了</w:t>
      </w:r>
      <w:r>
        <w:rPr>
          <w:rFonts w:hint="eastAsia" w:ascii="仿宋_GB2312" w:hAnsi="仿宋_GB2312" w:cs="仿宋_GB2312"/>
          <w:color w:val="auto"/>
          <w:sz w:val="32"/>
          <w:szCs w:val="32"/>
          <w:lang w:val="en-US" w:eastAsia="zh-CN"/>
        </w:rPr>
        <w:t>公车运行维护</w:t>
      </w:r>
      <w:r>
        <w:rPr>
          <w:rFonts w:hint="eastAsia" w:ascii="仿宋_GB2312" w:hAnsi="仿宋_GB2312" w:cs="仿宋_GB2312"/>
          <w:color w:val="auto"/>
          <w:sz w:val="32"/>
          <w:szCs w:val="32"/>
          <w:lang w:eastAsia="zh-CN"/>
        </w:rPr>
        <w:t>费用。</w:t>
      </w:r>
    </w:p>
    <w:p w14:paraId="4C531C44">
      <w:pPr>
        <w:pageBreakBefore w:val="0"/>
        <w:kinsoku/>
        <w:wordWrap/>
        <w:overflowPunct/>
        <w:topLinePunct w:val="0"/>
        <w:bidi w:val="0"/>
        <w:spacing w:line="560" w:lineRule="exact"/>
        <w:ind w:firstLine="640"/>
        <w:textAlignment w:val="auto"/>
        <w:outlineLvl w:val="2"/>
        <w:rPr>
          <w:rFonts w:hint="eastAsia" w:ascii="仿宋_GB2312" w:hAnsi="仿宋_GB2312" w:eastAsia="仿宋_GB2312" w:cs="仿宋_GB2312"/>
          <w:b/>
          <w:color w:val="000000"/>
          <w:sz w:val="32"/>
          <w:szCs w:val="32"/>
        </w:rPr>
      </w:pPr>
      <w:bookmarkStart w:id="38" w:name="_Toc15377217"/>
      <w:r>
        <w:rPr>
          <w:rFonts w:hint="eastAsia" w:ascii="仿宋_GB2312" w:hAnsi="仿宋_GB2312" w:eastAsia="仿宋_GB2312" w:cs="仿宋_GB2312"/>
          <w:b/>
          <w:color w:val="000000"/>
          <w:sz w:val="32"/>
          <w:szCs w:val="32"/>
        </w:rPr>
        <w:t>（二）“三公”经费财政拨款支出决算具体情况说明</w:t>
      </w:r>
      <w:bookmarkEnd w:id="38"/>
    </w:p>
    <w:p w14:paraId="5E617DD7">
      <w:pPr>
        <w:pageBreakBefore w:val="0"/>
        <w:kinsoku/>
        <w:wordWrap/>
        <w:overflowPunct/>
        <w:topLinePunct w:val="0"/>
        <w:bidi w:val="0"/>
        <w:spacing w:line="560" w:lineRule="exact"/>
        <w:ind w:firstLine="640"/>
        <w:textAlignment w:val="auto"/>
        <w:rPr>
          <w:rFonts w:hint="eastAsia" w:cs="Times New Roman"/>
          <w:color w:val="000000"/>
          <w:sz w:val="32"/>
          <w:szCs w:val="32"/>
          <w:lang w:val="en-US" w:eastAsia="zh-CN"/>
        </w:rPr>
      </w:pPr>
      <w:r>
        <w:rPr>
          <w:rFonts w:hint="eastAsia" w:cs="Times New Roman"/>
          <w:color w:val="000000"/>
          <w:sz w:val="32"/>
          <w:szCs w:val="32"/>
          <w:lang w:val="en-US" w:eastAsia="zh-CN"/>
        </w:rPr>
        <w:t>2023</w:t>
      </w:r>
      <w:r>
        <w:rPr>
          <w:rFonts w:hint="eastAsia" w:ascii="仿宋_GB2312" w:hAnsi="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rPr>
        <w:t>“三公”经费财政拨款支出决算中，因公出国（境）费支出决算</w:t>
      </w:r>
      <w:r>
        <w:rPr>
          <w:rFonts w:hint="eastAsia" w:cs="Times New Roman"/>
          <w:color w:val="000000"/>
          <w:sz w:val="32"/>
          <w:szCs w:val="32"/>
          <w:lang w:val="en-US" w:eastAsia="zh-CN"/>
        </w:rPr>
        <w:t>0.00万元，占0.00%；公务用车购置及运行维护费支出决算19.90万元，占89.72%；公务接待费支出决算2.28万元，占10.28%。具体情况如下：</w:t>
      </w:r>
    </w:p>
    <w:p w14:paraId="0C541EB3">
      <w:pPr>
        <w:pStyle w:val="6"/>
        <w:pageBreakBefore w:val="0"/>
        <w:kinsoku/>
        <w:wordWrap/>
        <w:overflowPunct/>
        <w:topLinePunct w:val="0"/>
        <w:bidi w:val="0"/>
        <w:spacing w:line="560" w:lineRule="exact"/>
        <w:textAlignment w:val="auto"/>
        <w:rPr>
          <w:rFonts w:hint="eastAsia"/>
          <w:lang w:val="en-US" w:eastAsia="zh-CN"/>
        </w:rPr>
      </w:pPr>
    </w:p>
    <w:p w14:paraId="51C44E69">
      <w:pPr>
        <w:pStyle w:val="6"/>
        <w:pageBreakBefore w:val="0"/>
        <w:kinsoku/>
        <w:wordWrap/>
        <w:overflowPunct/>
        <w:topLinePunct w:val="0"/>
        <w:bidi w:val="0"/>
        <w:spacing w:line="560" w:lineRule="exact"/>
        <w:textAlignment w:val="auto"/>
        <w:rPr>
          <w:rFonts w:hint="eastAsia"/>
          <w:lang w:val="en-US" w:eastAsia="zh-CN"/>
        </w:rPr>
      </w:pPr>
      <w:r>
        <w:rPr>
          <w:rFonts w:hint="eastAsia"/>
          <w:lang w:val="en-US" w:eastAsia="zh-CN"/>
        </w:rPr>
        <w:drawing>
          <wp:anchor distT="0" distB="0" distL="114300" distR="114300" simplePos="0" relativeHeight="251667456" behindDoc="0" locked="0" layoutInCell="1" allowOverlap="1">
            <wp:simplePos x="0" y="0"/>
            <wp:positionH relativeFrom="column">
              <wp:posOffset>490855</wp:posOffset>
            </wp:positionH>
            <wp:positionV relativeFrom="paragraph">
              <wp:posOffset>-52705</wp:posOffset>
            </wp:positionV>
            <wp:extent cx="4133215" cy="2112010"/>
            <wp:effectExtent l="4445" t="4445" r="15240" b="17145"/>
            <wp:wrapNone/>
            <wp:docPr id="25"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3A27A8A0">
      <w:pPr>
        <w:pStyle w:val="6"/>
        <w:pageBreakBefore w:val="0"/>
        <w:kinsoku/>
        <w:wordWrap/>
        <w:overflowPunct/>
        <w:topLinePunct w:val="0"/>
        <w:bidi w:val="0"/>
        <w:spacing w:line="560" w:lineRule="exact"/>
        <w:textAlignment w:val="auto"/>
        <w:rPr>
          <w:rFonts w:hint="eastAsia"/>
          <w:lang w:val="en-US" w:eastAsia="zh-CN"/>
        </w:rPr>
      </w:pPr>
    </w:p>
    <w:p w14:paraId="4DE317F5">
      <w:pPr>
        <w:pStyle w:val="6"/>
        <w:pageBreakBefore w:val="0"/>
        <w:kinsoku/>
        <w:wordWrap/>
        <w:overflowPunct/>
        <w:topLinePunct w:val="0"/>
        <w:bidi w:val="0"/>
        <w:spacing w:line="560" w:lineRule="exact"/>
        <w:textAlignment w:val="auto"/>
        <w:rPr>
          <w:rFonts w:hint="eastAsia"/>
          <w:lang w:val="en-US" w:eastAsia="zh-CN"/>
        </w:rPr>
      </w:pPr>
    </w:p>
    <w:p w14:paraId="1E355DC6">
      <w:pPr>
        <w:pStyle w:val="6"/>
        <w:pageBreakBefore w:val="0"/>
        <w:kinsoku/>
        <w:wordWrap/>
        <w:overflowPunct/>
        <w:topLinePunct w:val="0"/>
        <w:bidi w:val="0"/>
        <w:spacing w:line="560" w:lineRule="exact"/>
        <w:textAlignment w:val="auto"/>
        <w:rPr>
          <w:rFonts w:hint="eastAsia"/>
          <w:lang w:val="en-US" w:eastAsia="zh-CN"/>
        </w:rPr>
      </w:pPr>
    </w:p>
    <w:p w14:paraId="626997C5">
      <w:pPr>
        <w:pStyle w:val="6"/>
        <w:pageBreakBefore w:val="0"/>
        <w:kinsoku/>
        <w:wordWrap/>
        <w:overflowPunct/>
        <w:topLinePunct w:val="0"/>
        <w:bidi w:val="0"/>
        <w:spacing w:line="560" w:lineRule="exact"/>
        <w:textAlignment w:val="auto"/>
        <w:rPr>
          <w:rFonts w:hint="eastAsia"/>
          <w:lang w:val="en-US" w:eastAsia="zh-CN"/>
        </w:rPr>
      </w:pPr>
    </w:p>
    <w:p w14:paraId="234FD9C6">
      <w:pPr>
        <w:pageBreakBefore w:val="0"/>
        <w:kinsoku/>
        <w:wordWrap/>
        <w:overflowPunct/>
        <w:topLinePunct w:val="0"/>
        <w:bidi w:val="0"/>
        <w:spacing w:line="560"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（图</w:t>
      </w:r>
      <w:r>
        <w:rPr>
          <w:rFonts w:hint="eastAsia" w:cs="Times New Roman"/>
          <w:color w:val="000000"/>
          <w:sz w:val="32"/>
          <w:szCs w:val="32"/>
          <w:lang w:val="en-US" w:eastAsia="zh-CN"/>
        </w:rPr>
        <w:t>7</w:t>
      </w:r>
      <w:r>
        <w:rPr>
          <w:rFonts w:hint="eastAsia" w:ascii="仿宋_GB2312" w:hAnsi="仿宋_GB2312" w:eastAsia="仿宋_GB2312" w:cs="仿宋_GB2312"/>
          <w:color w:val="auto"/>
          <w:sz w:val="32"/>
          <w:szCs w:val="32"/>
          <w:highlight w:val="none"/>
        </w:rPr>
        <w:t>：“三公”经费财政拨款支出结构）</w:t>
      </w:r>
    </w:p>
    <w:p w14:paraId="2D6E5534">
      <w:pPr>
        <w:pageBreakBefore w:val="0"/>
        <w:kinsoku/>
        <w:wordWrap/>
        <w:overflowPunct/>
        <w:topLinePunct w:val="0"/>
        <w:bidi w:val="0"/>
        <w:spacing w:line="560" w:lineRule="exact"/>
        <w:ind w:firstLine="640"/>
        <w:textAlignment w:val="auto"/>
        <w:rPr>
          <w:rFonts w:hint="eastAsia" w:cs="Times New Roman"/>
          <w:color w:val="000000"/>
          <w:sz w:val="32"/>
          <w:szCs w:val="32"/>
          <w:lang w:val="en-US" w:eastAsia="zh-CN"/>
        </w:rPr>
      </w:pPr>
      <w:r>
        <w:rPr>
          <w:rFonts w:hint="eastAsia" w:ascii="仿宋_GB2312" w:hAnsi="仿宋_GB2312" w:eastAsia="仿宋_GB2312" w:cs="仿宋_GB2312"/>
          <w:b/>
          <w:color w:val="auto"/>
          <w:sz w:val="32"/>
          <w:szCs w:val="32"/>
          <w:highlight w:val="none"/>
        </w:rPr>
        <w:t>1.因公出国（境）经费支出</w:t>
      </w:r>
      <w:r>
        <w:rPr>
          <w:rFonts w:hint="eastAsia" w:cs="Times New Roman"/>
          <w:color w:val="000000"/>
          <w:sz w:val="32"/>
          <w:szCs w:val="32"/>
          <w:lang w:val="en-US" w:eastAsia="zh-CN"/>
        </w:rPr>
        <w:t>0.00万元，完成预算0.00%。全年安排因公出国（境）团组0次，出国（境）0人。</w:t>
      </w:r>
      <w:r>
        <w:rPr>
          <w:rFonts w:hint="eastAsia" w:cs="Times New Roman"/>
          <w:kern w:val="2"/>
          <w:sz w:val="32"/>
          <w:szCs w:val="24"/>
          <w:lang w:val="en-US" w:eastAsia="zh-CN" w:bidi="ar-SA"/>
        </w:rPr>
        <w:t>主要原因是2023年无因公出国（境）。</w:t>
      </w:r>
    </w:p>
    <w:p w14:paraId="3EF8702A">
      <w:pPr>
        <w:pageBreakBefore w:val="0"/>
        <w:kinsoku/>
        <w:wordWrap/>
        <w:overflowPunct/>
        <w:topLinePunct w:val="0"/>
        <w:bidi w:val="0"/>
        <w:spacing w:line="560" w:lineRule="exact"/>
        <w:ind w:firstLine="640"/>
        <w:jc w:val="both"/>
        <w:textAlignment w:val="auto"/>
        <w:rPr>
          <w:rFonts w:hint="eastAsia" w:cs="Times New Roman"/>
          <w:color w:val="000000"/>
          <w:sz w:val="32"/>
          <w:szCs w:val="32"/>
          <w:lang w:val="en-US" w:eastAsia="zh-CN"/>
        </w:rPr>
      </w:pPr>
      <w:r>
        <w:rPr>
          <w:rFonts w:hint="eastAsia" w:ascii="仿宋_GB2312" w:hAnsi="仿宋_GB2312" w:eastAsia="仿宋_GB2312" w:cs="仿宋_GB2312"/>
          <w:b/>
          <w:color w:val="auto"/>
          <w:sz w:val="32"/>
          <w:szCs w:val="32"/>
          <w:highlight w:val="none"/>
        </w:rPr>
        <w:t>2.公务用车购置及运行维护费支出</w:t>
      </w:r>
      <w:r>
        <w:rPr>
          <w:rFonts w:hint="eastAsia" w:cs="Times New Roman"/>
          <w:color w:val="000000"/>
          <w:sz w:val="32"/>
          <w:szCs w:val="32"/>
          <w:lang w:val="en-US" w:eastAsia="zh-CN"/>
        </w:rPr>
        <w:t>19.90万元,完成预算100%。公务用车购置及运行维护费支出决算比2022年减少1.27万元，下降6.0%。主要原因是</w:t>
      </w:r>
      <w:r>
        <w:rPr>
          <w:rFonts w:hint="eastAsia" w:ascii="仿宋_GB2312" w:hAnsi="仿宋_GB2312" w:cs="仿宋_GB2312"/>
          <w:color w:val="auto"/>
          <w:sz w:val="32"/>
          <w:szCs w:val="32"/>
          <w:highlight w:val="none"/>
          <w:lang w:val="en-US" w:eastAsia="zh-CN"/>
        </w:rPr>
        <w:t>严格落实八项规定，</w:t>
      </w:r>
      <w:r>
        <w:rPr>
          <w:rFonts w:hint="eastAsia" w:ascii="仿宋_GB2312" w:hAnsi="仿宋_GB2312" w:cs="仿宋_GB2312"/>
          <w:color w:val="auto"/>
          <w:sz w:val="32"/>
          <w:szCs w:val="32"/>
          <w:lang w:eastAsia="zh-CN"/>
        </w:rPr>
        <w:t>进一步压减了</w:t>
      </w:r>
      <w:r>
        <w:rPr>
          <w:rFonts w:hint="eastAsia" w:ascii="仿宋_GB2312" w:hAnsi="仿宋_GB2312" w:cs="仿宋_GB2312"/>
          <w:color w:val="auto"/>
          <w:sz w:val="32"/>
          <w:szCs w:val="32"/>
          <w:lang w:val="en-US" w:eastAsia="zh-CN"/>
        </w:rPr>
        <w:t>公车运行维护</w:t>
      </w:r>
      <w:r>
        <w:rPr>
          <w:rFonts w:hint="eastAsia" w:ascii="仿宋_GB2312" w:hAnsi="仿宋_GB2312" w:cs="仿宋_GB2312"/>
          <w:color w:val="auto"/>
          <w:sz w:val="32"/>
          <w:szCs w:val="32"/>
          <w:lang w:eastAsia="zh-CN"/>
        </w:rPr>
        <w:t>费用</w:t>
      </w:r>
      <w:r>
        <w:rPr>
          <w:rFonts w:hint="eastAsia" w:cs="Times New Roman"/>
          <w:color w:val="000000"/>
          <w:sz w:val="32"/>
          <w:szCs w:val="32"/>
          <w:lang w:val="en-US" w:eastAsia="zh-CN"/>
        </w:rPr>
        <w:t>。</w:t>
      </w:r>
    </w:p>
    <w:p w14:paraId="75102643">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其中：</w:t>
      </w:r>
      <w:r>
        <w:rPr>
          <w:rFonts w:hint="eastAsia" w:ascii="仿宋_GB2312" w:hAnsi="仿宋_GB2312" w:eastAsia="仿宋_GB2312" w:cs="仿宋_GB2312"/>
          <w:b/>
          <w:color w:val="auto"/>
          <w:sz w:val="32"/>
          <w:szCs w:val="32"/>
          <w:highlight w:val="none"/>
        </w:rPr>
        <w:t>公务用车购置支出</w:t>
      </w:r>
      <w:r>
        <w:rPr>
          <w:rFonts w:hint="eastAsia" w:cs="Times New Roman"/>
          <w:color w:val="000000"/>
          <w:sz w:val="32"/>
          <w:szCs w:val="32"/>
          <w:lang w:val="en-US" w:eastAsia="zh-CN"/>
        </w:rPr>
        <w:t>0.00</w:t>
      </w:r>
      <w:r>
        <w:rPr>
          <w:rFonts w:hint="eastAsia" w:ascii="仿宋_GB2312" w:hAnsi="仿宋_GB2312" w:eastAsia="仿宋_GB2312" w:cs="仿宋_GB2312"/>
          <w:color w:val="auto"/>
          <w:sz w:val="32"/>
          <w:szCs w:val="32"/>
          <w:highlight w:val="none"/>
        </w:rPr>
        <w:t>万元。全年按规定更新购置公务用车</w:t>
      </w:r>
      <w:r>
        <w:rPr>
          <w:rFonts w:hint="eastAsia" w:cs="Times New Roman"/>
          <w:color w:val="000000"/>
          <w:sz w:val="32"/>
          <w:szCs w:val="32"/>
          <w:lang w:val="en-US" w:eastAsia="zh-CN"/>
        </w:rPr>
        <w:t>0.00</w:t>
      </w:r>
      <w:r>
        <w:rPr>
          <w:rFonts w:hint="eastAsia" w:ascii="仿宋_GB2312" w:hAnsi="仿宋_GB2312" w:eastAsia="仿宋_GB2312" w:cs="仿宋_GB2312"/>
          <w:color w:val="auto"/>
          <w:sz w:val="32"/>
          <w:szCs w:val="32"/>
          <w:highlight w:val="none"/>
        </w:rPr>
        <w:t>辆，其中：轿车</w:t>
      </w:r>
      <w:r>
        <w:rPr>
          <w:rFonts w:hint="eastAsia" w:cs="Times New Roman"/>
          <w:color w:val="000000"/>
          <w:sz w:val="32"/>
          <w:szCs w:val="32"/>
          <w:lang w:val="en-US" w:eastAsia="zh-CN"/>
        </w:rPr>
        <w:t>0.00</w:t>
      </w:r>
      <w:r>
        <w:rPr>
          <w:rFonts w:hint="eastAsia" w:ascii="仿宋_GB2312" w:hAnsi="仿宋_GB2312" w:eastAsia="仿宋_GB2312" w:cs="仿宋_GB2312"/>
          <w:color w:val="auto"/>
          <w:sz w:val="32"/>
          <w:szCs w:val="32"/>
          <w:highlight w:val="none"/>
        </w:rPr>
        <w:t>辆、金额</w:t>
      </w:r>
      <w:r>
        <w:rPr>
          <w:rFonts w:hint="eastAsia" w:cs="Times New Roman"/>
          <w:color w:val="000000"/>
          <w:sz w:val="32"/>
          <w:szCs w:val="32"/>
          <w:lang w:val="en-US" w:eastAsia="zh-CN"/>
        </w:rPr>
        <w:t>0.00</w:t>
      </w:r>
      <w:r>
        <w:rPr>
          <w:rFonts w:hint="eastAsia" w:ascii="仿宋_GB2312" w:hAnsi="仿宋_GB2312" w:eastAsia="仿宋_GB2312" w:cs="仿宋_GB2312"/>
          <w:color w:val="auto"/>
          <w:sz w:val="32"/>
          <w:szCs w:val="32"/>
          <w:highlight w:val="none"/>
        </w:rPr>
        <w:t>万元，越野车</w:t>
      </w:r>
      <w:r>
        <w:rPr>
          <w:rFonts w:hint="eastAsia" w:cs="Times New Roman"/>
          <w:color w:val="000000"/>
          <w:sz w:val="32"/>
          <w:szCs w:val="32"/>
          <w:lang w:val="en-US" w:eastAsia="zh-CN"/>
        </w:rPr>
        <w:t>0.00</w:t>
      </w:r>
      <w:r>
        <w:rPr>
          <w:rFonts w:hint="eastAsia" w:ascii="仿宋_GB2312" w:hAnsi="仿宋_GB2312" w:eastAsia="仿宋_GB2312" w:cs="仿宋_GB2312"/>
          <w:color w:val="auto"/>
          <w:sz w:val="32"/>
          <w:szCs w:val="32"/>
          <w:highlight w:val="none"/>
        </w:rPr>
        <w:t>辆、金额</w:t>
      </w:r>
      <w:r>
        <w:rPr>
          <w:rFonts w:hint="eastAsia" w:cs="Times New Roman"/>
          <w:color w:val="000000"/>
          <w:sz w:val="32"/>
          <w:szCs w:val="32"/>
          <w:lang w:val="en-US" w:eastAsia="zh-CN"/>
        </w:rPr>
        <w:t>0.00</w:t>
      </w:r>
      <w:r>
        <w:rPr>
          <w:rFonts w:hint="eastAsia" w:ascii="仿宋_GB2312" w:hAnsi="仿宋_GB2312" w:eastAsia="仿宋_GB2312" w:cs="仿宋_GB2312"/>
          <w:color w:val="auto"/>
          <w:sz w:val="32"/>
          <w:szCs w:val="32"/>
          <w:highlight w:val="none"/>
        </w:rPr>
        <w:t>万元，载客汽车</w:t>
      </w:r>
      <w:r>
        <w:rPr>
          <w:rFonts w:hint="eastAsia" w:cs="Times New Roman"/>
          <w:color w:val="000000"/>
          <w:sz w:val="32"/>
          <w:szCs w:val="32"/>
          <w:lang w:val="en-US" w:eastAsia="zh-CN"/>
        </w:rPr>
        <w:t>0.00</w:t>
      </w:r>
      <w:r>
        <w:rPr>
          <w:rFonts w:hint="eastAsia" w:ascii="仿宋_GB2312" w:hAnsi="仿宋_GB2312" w:eastAsia="仿宋_GB2312" w:cs="仿宋_GB2312"/>
          <w:color w:val="auto"/>
          <w:sz w:val="32"/>
          <w:szCs w:val="32"/>
          <w:highlight w:val="none"/>
        </w:rPr>
        <w:t>辆、金额</w:t>
      </w:r>
      <w:r>
        <w:rPr>
          <w:rFonts w:hint="eastAsia" w:cs="Times New Roman"/>
          <w:color w:val="000000"/>
          <w:sz w:val="32"/>
          <w:szCs w:val="32"/>
          <w:lang w:val="en-US" w:eastAsia="zh-CN"/>
        </w:rPr>
        <w:t>0.00</w:t>
      </w:r>
      <w:r>
        <w:rPr>
          <w:rFonts w:hint="eastAsia" w:ascii="仿宋_GB2312" w:hAnsi="仿宋_GB2312" w:eastAsia="仿宋_GB2312" w:cs="仿宋_GB2312"/>
          <w:color w:val="auto"/>
          <w:sz w:val="32"/>
          <w:szCs w:val="32"/>
          <w:highlight w:val="none"/>
        </w:rPr>
        <w:t>万元。截至</w:t>
      </w:r>
      <w:r>
        <w:rPr>
          <w:rFonts w:hint="eastAsia" w:cs="Times New Roman"/>
          <w:color w:val="000000"/>
          <w:sz w:val="32"/>
          <w:szCs w:val="32"/>
          <w:lang w:val="en-US" w:eastAsia="zh-CN"/>
        </w:rPr>
        <w:t>2023年12月</w:t>
      </w:r>
      <w:r>
        <w:rPr>
          <w:rFonts w:hint="eastAsia" w:ascii="仿宋_GB2312" w:hAnsi="仿宋_GB2312" w:eastAsia="仿宋_GB2312" w:cs="仿宋_GB2312"/>
          <w:color w:val="auto"/>
          <w:sz w:val="32"/>
          <w:szCs w:val="32"/>
          <w:highlight w:val="none"/>
        </w:rPr>
        <w:t>底，单位共有公务用车</w:t>
      </w:r>
      <w:r>
        <w:rPr>
          <w:rFonts w:hint="eastAsia" w:cs="Times New Roman"/>
          <w:color w:val="000000"/>
          <w:sz w:val="32"/>
          <w:szCs w:val="32"/>
          <w:lang w:val="en-US" w:eastAsia="zh-CN"/>
        </w:rPr>
        <w:t>9</w:t>
      </w:r>
      <w:r>
        <w:rPr>
          <w:rFonts w:hint="eastAsia" w:ascii="仿宋_GB2312" w:hAnsi="仿宋_GB2312" w:eastAsia="仿宋_GB2312" w:cs="仿宋_GB2312"/>
          <w:color w:val="auto"/>
          <w:sz w:val="32"/>
          <w:szCs w:val="32"/>
          <w:highlight w:val="none"/>
        </w:rPr>
        <w:t>辆，其中：轿车</w:t>
      </w:r>
      <w:r>
        <w:rPr>
          <w:rFonts w:hint="eastAsia" w:cs="Times New Roman"/>
          <w:color w:val="000000"/>
          <w:sz w:val="32"/>
          <w:szCs w:val="32"/>
          <w:lang w:val="en-US" w:eastAsia="zh-CN"/>
        </w:rPr>
        <w:t>5辆、越野车3辆、载客汽车1辆</w:t>
      </w:r>
      <w:r>
        <w:rPr>
          <w:rFonts w:hint="eastAsia" w:ascii="仿宋_GB2312" w:hAnsi="仿宋_GB2312" w:eastAsia="仿宋_GB2312" w:cs="仿宋_GB2312"/>
          <w:color w:val="auto"/>
          <w:sz w:val="32"/>
          <w:szCs w:val="32"/>
          <w:highlight w:val="none"/>
        </w:rPr>
        <w:t>。</w:t>
      </w:r>
    </w:p>
    <w:p w14:paraId="1423CBE8">
      <w:pPr>
        <w:pageBreakBefore w:val="0"/>
        <w:kinsoku/>
        <w:wordWrap/>
        <w:overflowPunct/>
        <w:topLinePunct w:val="0"/>
        <w:bidi w:val="0"/>
        <w:spacing w:line="56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公务用车运行维护费支出</w:t>
      </w:r>
      <w:r>
        <w:rPr>
          <w:rFonts w:hint="eastAsia" w:cs="Times New Roman"/>
          <w:color w:val="000000"/>
          <w:sz w:val="32"/>
          <w:szCs w:val="32"/>
          <w:lang w:val="en-US" w:eastAsia="zh-CN"/>
        </w:rPr>
        <w:t>19.90</w:t>
      </w:r>
      <w:r>
        <w:rPr>
          <w:rFonts w:hint="eastAsia" w:ascii="仿宋_GB2312" w:hAnsi="仿宋_GB2312" w:eastAsia="仿宋_GB2312" w:cs="仿宋_GB2312"/>
          <w:color w:val="auto"/>
          <w:sz w:val="32"/>
          <w:szCs w:val="32"/>
          <w:highlight w:val="none"/>
        </w:rPr>
        <w:t>万元。主要用于</w:t>
      </w:r>
      <w:r>
        <w:rPr>
          <w:rFonts w:hint="eastAsia" w:ascii="仿宋_GB2312" w:hAnsi="仿宋_GB2312" w:cs="仿宋_GB2312"/>
          <w:color w:val="auto"/>
          <w:sz w:val="32"/>
          <w:szCs w:val="32"/>
          <w:highlight w:val="none"/>
          <w:lang w:val="en-US" w:eastAsia="zh-CN"/>
        </w:rPr>
        <w:t>各项</w:t>
      </w:r>
      <w:r>
        <w:rPr>
          <w:rFonts w:hint="eastAsia" w:ascii="仿宋_GB2312" w:hAnsi="仿宋_GB2312" w:cs="仿宋_GB2312"/>
          <w:color w:val="auto"/>
          <w:sz w:val="32"/>
          <w:szCs w:val="32"/>
          <w:lang w:eastAsia="zh-CN"/>
        </w:rPr>
        <w:t>检察办案工作</w:t>
      </w:r>
      <w:r>
        <w:rPr>
          <w:rFonts w:hint="eastAsia" w:ascii="仿宋_GB2312" w:hAnsi="仿宋_GB2312" w:eastAsia="仿宋_GB2312" w:cs="仿宋_GB2312"/>
          <w:color w:val="auto"/>
          <w:sz w:val="32"/>
          <w:szCs w:val="32"/>
          <w:highlight w:val="none"/>
        </w:rPr>
        <w:t>所需的公务用车燃料费、维修费、过路过桥费、保险费等支出。</w:t>
      </w:r>
    </w:p>
    <w:p w14:paraId="48E22720">
      <w:pPr>
        <w:pageBreakBefore w:val="0"/>
        <w:kinsoku/>
        <w:wordWrap/>
        <w:overflowPunct/>
        <w:topLinePunct w:val="0"/>
        <w:bidi w:val="0"/>
        <w:spacing w:line="560" w:lineRule="exact"/>
        <w:ind w:firstLine="640"/>
        <w:textAlignment w:val="auto"/>
        <w:rPr>
          <w:rFonts w:hint="eastAsia" w:cs="Times New Roman"/>
          <w:color w:val="000000"/>
          <w:sz w:val="32"/>
          <w:szCs w:val="32"/>
          <w:lang w:val="en-US" w:eastAsia="zh-CN"/>
        </w:rPr>
      </w:pPr>
      <w:r>
        <w:rPr>
          <w:rFonts w:hint="eastAsia" w:ascii="仿宋_GB2312" w:hAnsi="仿宋_GB2312" w:eastAsia="仿宋_GB2312" w:cs="仿宋_GB2312"/>
          <w:b/>
          <w:color w:val="auto"/>
          <w:sz w:val="32"/>
          <w:szCs w:val="32"/>
          <w:highlight w:val="none"/>
        </w:rPr>
        <w:t>3.公务接待费支出</w:t>
      </w:r>
      <w:r>
        <w:rPr>
          <w:rFonts w:hint="eastAsia" w:cs="Times New Roman"/>
          <w:color w:val="000000"/>
          <w:sz w:val="32"/>
          <w:szCs w:val="32"/>
          <w:lang w:val="en-US" w:eastAsia="zh-CN"/>
        </w:rPr>
        <w:t>2.28</w:t>
      </w:r>
      <w:r>
        <w:rPr>
          <w:rFonts w:hint="eastAsia" w:ascii="仿宋_GB2312" w:hAnsi="仿宋_GB2312" w:eastAsia="仿宋_GB2312" w:cs="仿宋_GB2312"/>
          <w:color w:val="auto"/>
          <w:sz w:val="32"/>
          <w:szCs w:val="32"/>
          <w:highlight w:val="none"/>
        </w:rPr>
        <w:t>万元，</w:t>
      </w:r>
      <w:r>
        <w:rPr>
          <w:rStyle w:val="16"/>
          <w:rFonts w:hint="eastAsia" w:ascii="仿宋_GB2312" w:hAnsi="仿宋_GB2312" w:eastAsia="仿宋_GB2312" w:cs="仿宋_GB2312"/>
          <w:b w:val="0"/>
          <w:bCs/>
          <w:color w:val="auto"/>
          <w:sz w:val="32"/>
          <w:szCs w:val="32"/>
          <w:highlight w:val="none"/>
        </w:rPr>
        <w:t>完成预算</w:t>
      </w:r>
      <w:r>
        <w:rPr>
          <w:rFonts w:hint="eastAsia" w:cs="Times New Roman"/>
          <w:color w:val="000000"/>
          <w:sz w:val="32"/>
          <w:szCs w:val="32"/>
          <w:lang w:val="en-US" w:eastAsia="zh-CN"/>
        </w:rPr>
        <w:t>63.16</w:t>
      </w:r>
      <w:r>
        <w:rPr>
          <w:rStyle w:val="16"/>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color w:val="auto"/>
          <w:sz w:val="32"/>
          <w:szCs w:val="32"/>
          <w:highlight w:val="none"/>
        </w:rPr>
        <w:t>公务接待费支出决算比</w:t>
      </w:r>
      <w:r>
        <w:rPr>
          <w:rFonts w:hint="eastAsia" w:cs="Times New Roman"/>
          <w:color w:val="000000"/>
          <w:sz w:val="32"/>
          <w:szCs w:val="32"/>
          <w:lang w:val="en-US" w:eastAsia="zh-CN"/>
        </w:rPr>
        <w:t>2022</w:t>
      </w:r>
      <w:r>
        <w:rPr>
          <w:rFonts w:hint="eastAsia" w:ascii="仿宋_GB2312" w:hAnsi="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rPr>
        <w:t>增加</w:t>
      </w:r>
      <w:r>
        <w:rPr>
          <w:rFonts w:hint="eastAsia" w:cs="Times New Roman"/>
          <w:color w:val="000000"/>
          <w:sz w:val="32"/>
          <w:szCs w:val="32"/>
          <w:lang w:val="en-US" w:eastAsia="zh-CN"/>
        </w:rPr>
        <w:t>0.45万元，增长24.59%。主要原因是2022年疫情态势虽然缓解，但依然处于常态化防控，2022年12月疫情防控态势彻底好转并放开，2023年检察工作相互调研、学习机会增多，公务接待费用较上年有所上涨。其中：</w:t>
      </w:r>
    </w:p>
    <w:p w14:paraId="4104CB8C">
      <w:pPr>
        <w:pageBreakBefore w:val="0"/>
        <w:kinsoku/>
        <w:wordWrap/>
        <w:overflowPunct/>
        <w:topLinePunct w:val="0"/>
        <w:bidi w:val="0"/>
        <w:spacing w:line="560" w:lineRule="exact"/>
        <w:ind w:firstLine="64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国内公务接待支出</w:t>
      </w:r>
      <w:r>
        <w:rPr>
          <w:rFonts w:hint="eastAsia" w:cs="Times New Roman"/>
          <w:color w:val="000000"/>
          <w:sz w:val="32"/>
          <w:szCs w:val="32"/>
          <w:lang w:val="en-US" w:eastAsia="zh-CN"/>
        </w:rPr>
        <w:t>2.28</w:t>
      </w:r>
      <w:r>
        <w:rPr>
          <w:rFonts w:hint="eastAsia" w:ascii="仿宋_GB2312" w:hAnsi="仿宋_GB2312" w:eastAsia="仿宋_GB2312" w:cs="仿宋_GB2312"/>
          <w:color w:val="auto"/>
          <w:sz w:val="32"/>
          <w:szCs w:val="32"/>
          <w:highlight w:val="none"/>
        </w:rPr>
        <w:t>万元，主要用于</w:t>
      </w:r>
      <w:r>
        <w:rPr>
          <w:rFonts w:hint="eastAsia" w:cs="Times New Roman"/>
          <w:kern w:val="2"/>
          <w:sz w:val="32"/>
          <w:szCs w:val="24"/>
          <w:lang w:val="en-US" w:eastAsia="zh-CN" w:bidi="ar-SA"/>
        </w:rPr>
        <w:t>检察办案所需执行公务、开展业务活动开支的交通费、住宿费、用餐费等</w:t>
      </w:r>
      <w:r>
        <w:rPr>
          <w:rFonts w:hint="eastAsia" w:ascii="仿宋_GB2312" w:hAnsi="仿宋_GB2312" w:eastAsia="仿宋_GB2312" w:cs="仿宋_GB2312"/>
          <w:color w:val="auto"/>
          <w:sz w:val="32"/>
          <w:szCs w:val="32"/>
          <w:highlight w:val="none"/>
        </w:rPr>
        <w:t>。国内公务接待</w:t>
      </w:r>
      <w:r>
        <w:rPr>
          <w:rFonts w:hint="eastAsia" w:cs="Times New Roman"/>
          <w:color w:val="000000"/>
          <w:sz w:val="32"/>
          <w:szCs w:val="32"/>
          <w:lang w:val="en-US" w:eastAsia="zh-CN"/>
        </w:rPr>
        <w:t>12批次，199</w:t>
      </w:r>
      <w:r>
        <w:rPr>
          <w:rFonts w:hint="eastAsia" w:ascii="仿宋_GB2312" w:hAnsi="仿宋_GB2312" w:eastAsia="仿宋_GB2312" w:cs="仿宋_GB2312"/>
          <w:color w:val="auto"/>
          <w:sz w:val="32"/>
          <w:szCs w:val="32"/>
          <w:highlight w:val="none"/>
        </w:rPr>
        <w:t>人次（不包括陪同人员），共计支出</w:t>
      </w:r>
      <w:r>
        <w:rPr>
          <w:rFonts w:hint="eastAsia" w:cs="Times New Roman"/>
          <w:color w:val="000000"/>
          <w:sz w:val="32"/>
          <w:szCs w:val="32"/>
          <w:lang w:val="en-US" w:eastAsia="zh-CN"/>
        </w:rPr>
        <w:t>2.28</w:t>
      </w:r>
      <w:r>
        <w:rPr>
          <w:rFonts w:hint="eastAsia" w:ascii="仿宋_GB2312" w:hAnsi="仿宋_GB2312" w:eastAsia="仿宋_GB2312" w:cs="仿宋_GB2312"/>
          <w:color w:val="auto"/>
          <w:sz w:val="32"/>
          <w:szCs w:val="32"/>
          <w:highlight w:val="none"/>
        </w:rPr>
        <w:t>万元，具体内容包括：</w:t>
      </w:r>
      <w:r>
        <w:rPr>
          <w:rFonts w:hint="eastAsia" w:ascii="仿宋_GB2312" w:hAnsi="仿宋_GB2312" w:cs="仿宋_GB2312"/>
          <w:color w:val="auto"/>
          <w:sz w:val="32"/>
          <w:szCs w:val="32"/>
          <w:lang w:val="en-US" w:eastAsia="zh-CN"/>
        </w:rPr>
        <w:t>上级</w:t>
      </w:r>
      <w:r>
        <w:rPr>
          <w:rFonts w:hint="eastAsia" w:ascii="仿宋_GB2312" w:hAnsi="仿宋_GB2312" w:cs="仿宋_GB2312"/>
          <w:color w:val="auto"/>
          <w:sz w:val="32"/>
          <w:szCs w:val="32"/>
          <w:lang w:eastAsia="zh-CN"/>
        </w:rPr>
        <w:t>检察院、同级其</w:t>
      </w:r>
      <w:r>
        <w:rPr>
          <w:rFonts w:hint="eastAsia" w:ascii="仿宋_GB2312" w:hAnsi="仿宋_GB2312" w:cs="仿宋_GB2312"/>
          <w:color w:val="auto"/>
          <w:sz w:val="32"/>
          <w:szCs w:val="32"/>
          <w:lang w:val="en-US" w:eastAsia="zh-CN"/>
        </w:rPr>
        <w:t>他</w:t>
      </w:r>
      <w:r>
        <w:rPr>
          <w:rFonts w:hint="eastAsia" w:ascii="仿宋_GB2312" w:hAnsi="仿宋_GB2312" w:cs="仿宋_GB2312"/>
          <w:color w:val="auto"/>
          <w:sz w:val="32"/>
          <w:szCs w:val="32"/>
          <w:lang w:eastAsia="zh-CN"/>
        </w:rPr>
        <w:t>地区检察院调研我院基层院建设、</w:t>
      </w:r>
      <w:r>
        <w:rPr>
          <w:rFonts w:hint="eastAsia" w:ascii="仿宋_GB2312" w:hAnsi="仿宋_GB2312" w:cs="仿宋_GB2312"/>
          <w:color w:val="auto"/>
          <w:sz w:val="32"/>
          <w:szCs w:val="32"/>
          <w:lang w:val="en-US" w:eastAsia="zh-CN"/>
        </w:rPr>
        <w:t>刑事检察</w:t>
      </w:r>
      <w:r>
        <w:rPr>
          <w:rFonts w:hint="eastAsia" w:ascii="仿宋_GB2312" w:hAnsi="仿宋_GB2312" w:cs="仿宋_GB2312"/>
          <w:color w:val="auto"/>
          <w:sz w:val="32"/>
          <w:szCs w:val="32"/>
          <w:lang w:eastAsia="zh-CN"/>
        </w:rPr>
        <w:t>、未成年人</w:t>
      </w:r>
      <w:r>
        <w:rPr>
          <w:rFonts w:hint="eastAsia" w:ascii="仿宋_GB2312" w:hAnsi="仿宋_GB2312" w:cs="仿宋_GB2312"/>
          <w:color w:val="auto"/>
          <w:sz w:val="32"/>
          <w:szCs w:val="32"/>
          <w:lang w:val="en-US" w:eastAsia="zh-CN"/>
        </w:rPr>
        <w:t>保护</w:t>
      </w:r>
      <w:r>
        <w:rPr>
          <w:rFonts w:hint="eastAsia" w:ascii="仿宋_GB2312" w:hAnsi="仿宋_GB2312" w:cs="仿宋_GB2312"/>
          <w:color w:val="auto"/>
          <w:sz w:val="32"/>
          <w:szCs w:val="32"/>
          <w:lang w:eastAsia="zh-CN"/>
        </w:rPr>
        <w:t>、公益诉讼、</w:t>
      </w:r>
      <w:r>
        <w:rPr>
          <w:rFonts w:hint="eastAsia" w:ascii="仿宋_GB2312" w:hAnsi="仿宋_GB2312" w:cs="仿宋_GB2312"/>
          <w:color w:val="auto"/>
          <w:sz w:val="32"/>
          <w:szCs w:val="32"/>
          <w:lang w:val="en-US" w:eastAsia="zh-CN"/>
        </w:rPr>
        <w:t>数字检察</w:t>
      </w:r>
      <w:r>
        <w:rPr>
          <w:rFonts w:hint="eastAsia" w:ascii="仿宋_GB2312" w:hAnsi="仿宋_GB2312" w:cs="仿宋_GB2312"/>
          <w:color w:val="auto"/>
          <w:sz w:val="32"/>
          <w:szCs w:val="32"/>
          <w:lang w:eastAsia="zh-CN"/>
        </w:rPr>
        <w:t>等工作</w:t>
      </w:r>
      <w:r>
        <w:rPr>
          <w:rFonts w:hint="eastAsia" w:ascii="仿宋_GB2312" w:hAnsi="仿宋_GB2312" w:eastAsia="仿宋_GB2312" w:cs="仿宋_GB2312"/>
          <w:color w:val="auto"/>
          <w:sz w:val="32"/>
          <w:szCs w:val="32"/>
        </w:rPr>
        <w:t>。</w:t>
      </w:r>
    </w:p>
    <w:p w14:paraId="3E03A967">
      <w:pPr>
        <w:pageBreakBefore w:val="0"/>
        <w:kinsoku/>
        <w:wordWrap/>
        <w:overflowPunct/>
        <w:topLinePunct w:val="0"/>
        <w:bidi w:val="0"/>
        <w:spacing w:line="560" w:lineRule="exact"/>
        <w:ind w:firstLine="643" w:firstLineChars="200"/>
        <w:textAlignment w:val="auto"/>
        <w:rPr>
          <w:rFonts w:ascii="黑体" w:eastAsia="黑体"/>
          <w:color w:val="000000"/>
          <w:sz w:val="32"/>
          <w:szCs w:val="32"/>
        </w:rPr>
      </w:pPr>
      <w:r>
        <w:rPr>
          <w:rFonts w:hint="eastAsia" w:ascii="仿宋_GB2312" w:hAnsi="仿宋_GB2312" w:eastAsia="仿宋_GB2312" w:cs="仿宋_GB2312"/>
          <w:b/>
          <w:color w:val="auto"/>
          <w:sz w:val="32"/>
          <w:szCs w:val="32"/>
          <w:highlight w:val="none"/>
        </w:rPr>
        <w:t>外事接待支出</w:t>
      </w:r>
      <w:r>
        <w:rPr>
          <w:rFonts w:hint="eastAsia" w:cs="Times New Roman"/>
          <w:color w:val="000000"/>
          <w:sz w:val="32"/>
          <w:szCs w:val="32"/>
          <w:lang w:val="en-US" w:eastAsia="zh-CN"/>
        </w:rPr>
        <w:t>0.00万</w:t>
      </w:r>
      <w:r>
        <w:rPr>
          <w:rFonts w:hint="eastAsia" w:ascii="仿宋_GB2312" w:hAnsi="仿宋_GB2312" w:eastAsia="仿宋_GB2312" w:cs="仿宋_GB2312"/>
          <w:color w:val="auto"/>
          <w:sz w:val="32"/>
          <w:szCs w:val="32"/>
          <w:highlight w:val="none"/>
        </w:rPr>
        <w:t>元，</w:t>
      </w:r>
      <w:r>
        <w:rPr>
          <w:rFonts w:hint="eastAsia" w:cs="Times New Roman"/>
          <w:kern w:val="2"/>
          <w:sz w:val="32"/>
          <w:szCs w:val="24"/>
          <w:lang w:val="en-US" w:eastAsia="zh-CN" w:bidi="ar-SA"/>
        </w:rPr>
        <w:t>与上年度决算数持平，</w:t>
      </w:r>
      <w:r>
        <w:rPr>
          <w:rFonts w:hint="eastAsia" w:ascii="仿宋_GB2312" w:hAnsi="仿宋_GB2312" w:eastAsia="仿宋_GB2312" w:cs="仿宋_GB2312"/>
          <w:color w:val="auto"/>
          <w:sz w:val="32"/>
          <w:szCs w:val="32"/>
          <w:highlight w:val="none"/>
        </w:rPr>
        <w:t>外事接待</w:t>
      </w:r>
      <w:r>
        <w:rPr>
          <w:rFonts w:hint="eastAsia" w:cs="Times New Roman"/>
          <w:color w:val="000000"/>
          <w:sz w:val="32"/>
          <w:szCs w:val="32"/>
          <w:lang w:val="en-US" w:eastAsia="zh-CN"/>
        </w:rPr>
        <w:t>0.00</w:t>
      </w:r>
      <w:r>
        <w:rPr>
          <w:rFonts w:hint="eastAsia" w:ascii="仿宋_GB2312" w:hAnsi="仿宋_GB2312" w:eastAsia="仿宋_GB2312" w:cs="仿宋_GB2312"/>
          <w:color w:val="auto"/>
          <w:sz w:val="32"/>
          <w:szCs w:val="32"/>
          <w:highlight w:val="none"/>
        </w:rPr>
        <w:t>批次，</w:t>
      </w:r>
      <w:r>
        <w:rPr>
          <w:rFonts w:hint="eastAsia" w:cs="Times New Roman"/>
          <w:color w:val="000000"/>
          <w:sz w:val="32"/>
          <w:szCs w:val="32"/>
          <w:lang w:val="en-US" w:eastAsia="zh-CN"/>
        </w:rPr>
        <w:t>0.00</w:t>
      </w:r>
      <w:r>
        <w:rPr>
          <w:rFonts w:hint="eastAsia" w:ascii="仿宋_GB2312" w:hAnsi="仿宋_GB2312" w:eastAsia="仿宋_GB2312" w:cs="仿宋_GB2312"/>
          <w:color w:val="auto"/>
          <w:sz w:val="32"/>
          <w:szCs w:val="32"/>
          <w:highlight w:val="none"/>
        </w:rPr>
        <w:t>人</w:t>
      </w:r>
      <w:r>
        <w:rPr>
          <w:rFonts w:hint="eastAsia" w:ascii="仿宋_GB2312" w:hAnsi="仿宋_GB2312" w:eastAsia="仿宋_GB2312" w:cs="仿宋_GB2312"/>
          <w:color w:val="auto"/>
          <w:sz w:val="32"/>
          <w:szCs w:val="32"/>
          <w:highlight w:val="none"/>
          <w:lang w:eastAsia="zh-CN"/>
        </w:rPr>
        <w:t>次（不包括陪同人员）</w:t>
      </w:r>
      <w:r>
        <w:rPr>
          <w:rFonts w:hint="eastAsia" w:ascii="仿宋_GB2312" w:hAnsi="仿宋_GB2312" w:eastAsia="仿宋_GB2312" w:cs="仿宋_GB2312"/>
          <w:color w:val="auto"/>
          <w:sz w:val="32"/>
          <w:szCs w:val="32"/>
          <w:highlight w:val="none"/>
        </w:rPr>
        <w:t>，共计支出</w:t>
      </w:r>
      <w:r>
        <w:rPr>
          <w:rFonts w:hint="eastAsia" w:cs="Times New Roman"/>
          <w:color w:val="000000"/>
          <w:sz w:val="32"/>
          <w:szCs w:val="32"/>
          <w:lang w:val="en-US" w:eastAsia="zh-CN"/>
        </w:rPr>
        <w:t>0.00</w:t>
      </w:r>
      <w:r>
        <w:rPr>
          <w:rFonts w:hint="eastAsia" w:ascii="仿宋_GB2312" w:hAnsi="仿宋_GB2312" w:eastAsia="仿宋_GB2312" w:cs="仿宋_GB2312"/>
          <w:color w:val="auto"/>
          <w:sz w:val="32"/>
          <w:szCs w:val="32"/>
          <w:highlight w:val="none"/>
        </w:rPr>
        <w:t>万元。</w:t>
      </w:r>
      <w:bookmarkStart w:id="39" w:name="_Toc15396610"/>
      <w:bookmarkStart w:id="40" w:name="_Toc15377218"/>
    </w:p>
    <w:p w14:paraId="25684A43">
      <w:pPr>
        <w:pageBreakBefore w:val="0"/>
        <w:kinsoku/>
        <w:wordWrap/>
        <w:overflowPunct/>
        <w:topLinePunct w:val="0"/>
        <w:bidi w:val="0"/>
        <w:spacing w:line="560" w:lineRule="exact"/>
        <w:ind w:firstLine="640"/>
        <w:textAlignment w:val="auto"/>
        <w:outlineLvl w:val="1"/>
        <w:rPr>
          <w:rStyle w:val="19"/>
          <w:rFonts w:ascii="黑体" w:hAnsi="黑体" w:eastAsia="黑体"/>
        </w:rPr>
      </w:pPr>
      <w:bookmarkStart w:id="41" w:name="_Toc31714"/>
      <w:r>
        <w:rPr>
          <w:rFonts w:hint="eastAsia" w:ascii="黑体" w:eastAsia="黑体"/>
          <w:color w:val="000000"/>
          <w:sz w:val="32"/>
          <w:szCs w:val="32"/>
        </w:rPr>
        <w:t>八、</w:t>
      </w:r>
      <w:r>
        <w:rPr>
          <w:rStyle w:val="19"/>
          <w:rFonts w:hint="eastAsia" w:ascii="黑体" w:hAnsi="黑体" w:eastAsia="黑体"/>
          <w:b w:val="0"/>
        </w:rPr>
        <w:t>政府性基金预算支出决算情况说明</w:t>
      </w:r>
      <w:bookmarkEnd w:id="39"/>
      <w:bookmarkEnd w:id="40"/>
      <w:bookmarkEnd w:id="41"/>
    </w:p>
    <w:p w14:paraId="56305F1C">
      <w:pPr>
        <w:pageBreakBefore w:val="0"/>
        <w:kinsoku/>
        <w:wordWrap/>
        <w:overflowPunct/>
        <w:topLinePunct w:val="0"/>
        <w:bidi w:val="0"/>
        <w:spacing w:line="560" w:lineRule="exact"/>
        <w:ind w:firstLine="640"/>
        <w:textAlignment w:val="auto"/>
        <w:rPr>
          <w:rFonts w:ascii="仿宋_GB2312" w:eastAsia="仿宋_GB2312"/>
          <w:color w:val="000000"/>
          <w:sz w:val="32"/>
          <w:szCs w:val="32"/>
        </w:rPr>
      </w:pPr>
      <w:r>
        <w:rPr>
          <w:rFonts w:hint="eastAsia" w:cs="Times New Roman"/>
          <w:color w:val="000000"/>
          <w:sz w:val="32"/>
          <w:szCs w:val="32"/>
          <w:lang w:val="en-US" w:eastAsia="zh-CN"/>
        </w:rPr>
        <w:t>2023</w:t>
      </w:r>
      <w:r>
        <w:rPr>
          <w:rFonts w:hint="eastAsia" w:ascii="仿宋_GB2312" w:hAnsi="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rPr>
        <w:t>政府性基金预算</w:t>
      </w:r>
      <w:r>
        <w:rPr>
          <w:rFonts w:hint="eastAsia" w:ascii="仿宋_GB2312" w:hAnsi="仿宋_GB2312" w:eastAsia="仿宋_GB2312" w:cs="仿宋_GB2312"/>
          <w:color w:val="auto"/>
          <w:sz w:val="32"/>
          <w:szCs w:val="32"/>
          <w:highlight w:val="none"/>
          <w:lang w:eastAsia="zh-CN"/>
        </w:rPr>
        <w:t>财政</w:t>
      </w:r>
      <w:r>
        <w:rPr>
          <w:rFonts w:hint="eastAsia" w:ascii="仿宋_GB2312" w:hAnsi="仿宋_GB2312" w:eastAsia="仿宋_GB2312" w:cs="仿宋_GB2312"/>
          <w:color w:val="auto"/>
          <w:sz w:val="32"/>
          <w:szCs w:val="32"/>
          <w:highlight w:val="none"/>
        </w:rPr>
        <w:t>拨款支出</w:t>
      </w:r>
      <w:r>
        <w:rPr>
          <w:rFonts w:hint="eastAsia" w:cs="Times New Roman"/>
          <w:color w:val="000000"/>
          <w:sz w:val="32"/>
          <w:szCs w:val="32"/>
          <w:lang w:val="en-US" w:eastAsia="zh-CN"/>
        </w:rPr>
        <w:t>0.00</w:t>
      </w:r>
      <w:r>
        <w:rPr>
          <w:rFonts w:hint="eastAsia" w:ascii="仿宋_GB2312" w:hAnsi="仿宋_GB2312" w:eastAsia="仿宋_GB2312" w:cs="仿宋_GB2312"/>
          <w:color w:val="auto"/>
          <w:sz w:val="32"/>
          <w:szCs w:val="32"/>
          <w:highlight w:val="none"/>
        </w:rPr>
        <w:t>万元。</w:t>
      </w:r>
    </w:p>
    <w:p w14:paraId="16A6C9D4">
      <w:pPr>
        <w:pageBreakBefore w:val="0"/>
        <w:numPr>
          <w:ilvl w:val="0"/>
          <w:numId w:val="2"/>
        </w:numPr>
        <w:kinsoku/>
        <w:wordWrap/>
        <w:overflowPunct/>
        <w:topLinePunct w:val="0"/>
        <w:bidi w:val="0"/>
        <w:spacing w:line="560" w:lineRule="exact"/>
        <w:ind w:firstLine="640"/>
        <w:textAlignment w:val="auto"/>
        <w:outlineLvl w:val="1"/>
        <w:rPr>
          <w:rStyle w:val="19"/>
          <w:rFonts w:ascii="黑体" w:hAnsi="黑体" w:eastAsia="黑体"/>
          <w:b w:val="0"/>
        </w:rPr>
      </w:pPr>
      <w:bookmarkStart w:id="42" w:name="_Toc15396611"/>
      <w:bookmarkStart w:id="43" w:name="_Toc15377219"/>
      <w:bookmarkStart w:id="44" w:name="_Toc12385"/>
      <w:r>
        <w:rPr>
          <w:rStyle w:val="19"/>
          <w:rFonts w:hint="eastAsia" w:ascii="黑体" w:hAnsi="黑体" w:eastAsia="黑体"/>
          <w:b w:val="0"/>
        </w:rPr>
        <w:t>国有资本经营预算支出决算情况说明</w:t>
      </w:r>
      <w:bookmarkEnd w:id="42"/>
      <w:bookmarkEnd w:id="43"/>
      <w:bookmarkEnd w:id="44"/>
    </w:p>
    <w:p w14:paraId="66420511">
      <w:pPr>
        <w:pageBreakBefore w:val="0"/>
        <w:kinsoku/>
        <w:wordWrap/>
        <w:overflowPunct/>
        <w:topLinePunct w:val="0"/>
        <w:bidi w:val="0"/>
        <w:spacing w:line="560" w:lineRule="exact"/>
        <w:ind w:firstLine="640"/>
        <w:textAlignment w:val="auto"/>
        <w:rPr>
          <w:rFonts w:ascii="方正小标宋简体" w:hAnsi="方正小标宋简体" w:eastAsia="方正小标宋简体" w:cs="方正小标宋简体"/>
          <w:sz w:val="44"/>
          <w:szCs w:val="44"/>
        </w:rPr>
      </w:pPr>
      <w:r>
        <w:rPr>
          <w:rFonts w:hint="eastAsia" w:cs="Times New Roman"/>
          <w:color w:val="000000"/>
          <w:sz w:val="32"/>
          <w:szCs w:val="32"/>
          <w:lang w:val="en-US" w:eastAsia="zh-CN"/>
        </w:rPr>
        <w:t>2023</w:t>
      </w:r>
      <w:r>
        <w:rPr>
          <w:rFonts w:hint="eastAsia" w:ascii="仿宋_GB2312" w:hAnsi="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rPr>
        <w:t>国有资本经营预算</w:t>
      </w:r>
      <w:r>
        <w:rPr>
          <w:rFonts w:hint="eastAsia" w:ascii="仿宋_GB2312" w:hAnsi="仿宋_GB2312" w:eastAsia="仿宋_GB2312" w:cs="仿宋_GB2312"/>
          <w:color w:val="auto"/>
          <w:sz w:val="32"/>
          <w:szCs w:val="32"/>
          <w:highlight w:val="none"/>
          <w:lang w:eastAsia="zh-CN"/>
        </w:rPr>
        <w:t>财政</w:t>
      </w:r>
      <w:r>
        <w:rPr>
          <w:rFonts w:hint="eastAsia" w:ascii="仿宋_GB2312" w:hAnsi="仿宋_GB2312" w:eastAsia="仿宋_GB2312" w:cs="仿宋_GB2312"/>
          <w:color w:val="auto"/>
          <w:sz w:val="32"/>
          <w:szCs w:val="32"/>
          <w:highlight w:val="none"/>
        </w:rPr>
        <w:t>拨款支出</w:t>
      </w:r>
      <w:r>
        <w:rPr>
          <w:rFonts w:hint="eastAsia" w:cs="Times New Roman"/>
          <w:color w:val="000000"/>
          <w:sz w:val="32"/>
          <w:szCs w:val="32"/>
          <w:lang w:val="en-US" w:eastAsia="zh-CN"/>
        </w:rPr>
        <w:t>0.00</w:t>
      </w:r>
      <w:r>
        <w:rPr>
          <w:rFonts w:hint="eastAsia" w:ascii="仿宋_GB2312" w:hAnsi="仿宋_GB2312" w:eastAsia="仿宋_GB2312" w:cs="仿宋_GB2312"/>
          <w:color w:val="auto"/>
          <w:sz w:val="32"/>
          <w:szCs w:val="32"/>
          <w:highlight w:val="none"/>
        </w:rPr>
        <w:t>万元。</w:t>
      </w:r>
    </w:p>
    <w:p w14:paraId="5F59898B">
      <w:pPr>
        <w:pageBreakBefore w:val="0"/>
        <w:kinsoku/>
        <w:wordWrap/>
        <w:overflowPunct/>
        <w:topLinePunct w:val="0"/>
        <w:bidi w:val="0"/>
        <w:spacing w:line="560" w:lineRule="exact"/>
        <w:ind w:firstLine="640" w:firstLineChars="200"/>
        <w:textAlignment w:val="auto"/>
        <w:outlineLvl w:val="1"/>
        <w:rPr>
          <w:rStyle w:val="19"/>
          <w:rFonts w:ascii="黑体" w:hAnsi="黑体" w:eastAsia="黑体"/>
        </w:rPr>
      </w:pPr>
      <w:bookmarkStart w:id="45" w:name="_Toc15377221"/>
      <w:bookmarkStart w:id="46" w:name="_Toc15396612"/>
      <w:bookmarkStart w:id="47" w:name="_Toc30095"/>
      <w:r>
        <w:rPr>
          <w:rFonts w:hint="eastAsia" w:ascii="黑体" w:hAnsi="黑体" w:eastAsia="黑体"/>
          <w:color w:val="000000"/>
          <w:sz w:val="32"/>
          <w:szCs w:val="32"/>
        </w:rPr>
        <w:t>十</w:t>
      </w:r>
      <w:r>
        <w:rPr>
          <w:rStyle w:val="19"/>
          <w:rFonts w:hint="eastAsia" w:ascii="黑体" w:hAnsi="黑体" w:eastAsia="黑体"/>
        </w:rPr>
        <w:t>、</w:t>
      </w:r>
      <w:r>
        <w:rPr>
          <w:rStyle w:val="19"/>
          <w:rFonts w:hint="eastAsia" w:ascii="黑体" w:hAnsi="黑体" w:eastAsia="黑体"/>
          <w:b w:val="0"/>
        </w:rPr>
        <w:t>其他重要事项的情况说明</w:t>
      </w:r>
      <w:bookmarkEnd w:id="45"/>
      <w:bookmarkEnd w:id="46"/>
      <w:bookmarkEnd w:id="47"/>
    </w:p>
    <w:p w14:paraId="47DB75B5">
      <w:pPr>
        <w:pageBreakBefore w:val="0"/>
        <w:kinsoku/>
        <w:wordWrap/>
        <w:overflowPunct/>
        <w:topLinePunct w:val="0"/>
        <w:bidi w:val="0"/>
        <w:spacing w:line="560" w:lineRule="exact"/>
        <w:ind w:firstLine="643" w:firstLineChars="200"/>
        <w:textAlignment w:val="auto"/>
        <w:outlineLvl w:val="2"/>
        <w:rPr>
          <w:rFonts w:hint="eastAsia" w:ascii="仿宋_GB2312" w:hAnsi="仿宋_GB2312" w:eastAsia="仿宋_GB2312" w:cs="仿宋_GB2312"/>
          <w:color w:val="000000"/>
          <w:sz w:val="32"/>
          <w:szCs w:val="32"/>
        </w:rPr>
      </w:pPr>
      <w:bookmarkStart w:id="48" w:name="_Toc15377222"/>
      <w:r>
        <w:rPr>
          <w:rFonts w:hint="eastAsia" w:ascii="仿宋_GB2312" w:hAnsi="仿宋_GB2312" w:eastAsia="仿宋_GB2312" w:cs="仿宋_GB2312"/>
          <w:b/>
          <w:color w:val="000000"/>
          <w:sz w:val="32"/>
          <w:szCs w:val="32"/>
        </w:rPr>
        <w:t>（一）机关运行经费支出情况</w:t>
      </w:r>
      <w:bookmarkEnd w:id="48"/>
    </w:p>
    <w:p w14:paraId="233CC0ED">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
          <w:color w:val="FF0000"/>
          <w:sz w:val="32"/>
          <w:szCs w:val="32"/>
        </w:rPr>
      </w:pPr>
      <w:r>
        <w:rPr>
          <w:rFonts w:hint="eastAsia" w:cs="Times New Roman"/>
          <w:color w:val="000000"/>
          <w:sz w:val="32"/>
          <w:szCs w:val="32"/>
          <w:lang w:val="en-US" w:eastAsia="zh-CN"/>
        </w:rPr>
        <w:t>2023</w:t>
      </w:r>
      <w:r>
        <w:rPr>
          <w:rFonts w:hint="eastAsia" w:ascii="仿宋_GB2312" w:hAnsi="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rPr>
        <w:t>，</w:t>
      </w:r>
      <w:r>
        <w:rPr>
          <w:rFonts w:hint="eastAsia" w:ascii="仿宋_GB2312" w:hAnsi="仿宋_GB2312" w:cs="仿宋_GB2312"/>
          <w:color w:val="auto"/>
          <w:sz w:val="32"/>
          <w:szCs w:val="32"/>
          <w:highlight w:val="none"/>
          <w:lang w:val="en-US" w:eastAsia="zh-CN"/>
        </w:rPr>
        <w:t>荣县人民检察院</w:t>
      </w:r>
      <w:r>
        <w:rPr>
          <w:rFonts w:hint="eastAsia" w:ascii="仿宋_GB2312" w:hAnsi="仿宋_GB2312" w:eastAsia="仿宋_GB2312" w:cs="仿宋_GB2312"/>
          <w:color w:val="auto"/>
          <w:sz w:val="32"/>
          <w:szCs w:val="32"/>
          <w:highlight w:val="none"/>
        </w:rPr>
        <w:t>机关运行经费支出</w:t>
      </w:r>
      <w:r>
        <w:rPr>
          <w:rFonts w:hint="eastAsia" w:cs="Times New Roman"/>
          <w:color w:val="000000"/>
          <w:sz w:val="32"/>
          <w:szCs w:val="32"/>
          <w:lang w:val="en-US" w:eastAsia="zh-CN"/>
        </w:rPr>
        <w:t>210.48万元，比2022年减少148.31万元，下降41.34%。主要原因是2022年机关运行经费中有部分为弥补未进行财务上划前2021年未支付的部分经费，导致2022年机关运行经费较高，2023年未存在此类情况，则机关运行经费随之较2022年下降。</w:t>
      </w:r>
    </w:p>
    <w:p w14:paraId="6C20984F">
      <w:pPr>
        <w:pageBreakBefore w:val="0"/>
        <w:kinsoku/>
        <w:wordWrap/>
        <w:overflowPunct/>
        <w:topLinePunct w:val="0"/>
        <w:autoSpaceDE w:val="0"/>
        <w:autoSpaceDN w:val="0"/>
        <w:bidi w:val="0"/>
        <w:adjustRightInd w:val="0"/>
        <w:spacing w:line="560" w:lineRule="exact"/>
        <w:ind w:firstLine="643" w:firstLineChars="200"/>
        <w:jc w:val="left"/>
        <w:textAlignment w:val="auto"/>
        <w:outlineLvl w:val="2"/>
        <w:rPr>
          <w:rFonts w:hint="eastAsia" w:ascii="仿宋_GB2312" w:hAnsi="仿宋_GB2312" w:eastAsia="仿宋_GB2312" w:cs="仿宋_GB2312"/>
          <w:b/>
          <w:color w:val="000000"/>
          <w:sz w:val="32"/>
          <w:szCs w:val="32"/>
        </w:rPr>
      </w:pPr>
      <w:bookmarkStart w:id="49" w:name="_Toc15377223"/>
      <w:r>
        <w:rPr>
          <w:rFonts w:hint="eastAsia" w:ascii="仿宋_GB2312" w:hAnsi="仿宋_GB2312" w:eastAsia="仿宋_GB2312" w:cs="仿宋_GB2312"/>
          <w:b/>
          <w:color w:val="000000"/>
          <w:sz w:val="32"/>
          <w:szCs w:val="32"/>
        </w:rPr>
        <w:t>（二）政府采购支出情况</w:t>
      </w:r>
      <w:bookmarkEnd w:id="49"/>
    </w:p>
    <w:p w14:paraId="3B538977">
      <w:pPr>
        <w:pageBreakBefore w:val="0"/>
        <w:kinsoku/>
        <w:wordWrap/>
        <w:overflowPunct/>
        <w:topLinePunct w:val="0"/>
        <w:bidi w:val="0"/>
        <w:spacing w:line="560" w:lineRule="exact"/>
        <w:ind w:firstLine="640" w:firstLineChars="200"/>
        <w:textAlignment w:val="auto"/>
        <w:rPr>
          <w:rFonts w:hint="eastAsia" w:cs="Times New Roman"/>
          <w:color w:val="000000"/>
          <w:sz w:val="32"/>
          <w:szCs w:val="32"/>
          <w:lang w:val="en-US" w:eastAsia="zh-CN"/>
        </w:rPr>
      </w:pPr>
      <w:r>
        <w:rPr>
          <w:rFonts w:hint="eastAsia" w:cs="Times New Roman"/>
          <w:color w:val="000000"/>
          <w:sz w:val="32"/>
          <w:szCs w:val="32"/>
          <w:lang w:val="en-US" w:eastAsia="zh-CN"/>
        </w:rPr>
        <w:t>2023</w:t>
      </w:r>
      <w:r>
        <w:rPr>
          <w:rFonts w:hint="eastAsia" w:ascii="仿宋_GB2312" w:hAnsi="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rPr>
        <w:t>，</w:t>
      </w:r>
      <w:r>
        <w:rPr>
          <w:rFonts w:hint="eastAsia" w:ascii="仿宋_GB2312" w:hAnsi="仿宋_GB2312" w:cs="仿宋_GB2312"/>
          <w:color w:val="auto"/>
          <w:sz w:val="32"/>
          <w:szCs w:val="32"/>
          <w:highlight w:val="none"/>
          <w:lang w:val="en-US" w:eastAsia="zh-CN"/>
        </w:rPr>
        <w:t>荣县人民检察院</w:t>
      </w:r>
      <w:r>
        <w:rPr>
          <w:rFonts w:hint="eastAsia" w:ascii="仿宋_GB2312" w:hAnsi="仿宋_GB2312" w:eastAsia="仿宋_GB2312" w:cs="仿宋_GB2312"/>
          <w:color w:val="auto"/>
          <w:sz w:val="32"/>
          <w:szCs w:val="32"/>
          <w:highlight w:val="none"/>
        </w:rPr>
        <w:t>政府采购支出总额</w:t>
      </w:r>
      <w:r>
        <w:rPr>
          <w:rFonts w:hint="eastAsia" w:cs="Times New Roman"/>
          <w:color w:val="000000"/>
          <w:sz w:val="32"/>
          <w:szCs w:val="32"/>
          <w:lang w:val="en-US" w:eastAsia="zh-CN"/>
        </w:rPr>
        <w:t>18.40</w:t>
      </w:r>
      <w:r>
        <w:rPr>
          <w:rFonts w:hint="eastAsia" w:ascii="仿宋_GB2312" w:hAnsi="仿宋_GB2312" w:eastAsia="仿宋_GB2312" w:cs="仿宋_GB2312"/>
          <w:color w:val="auto"/>
          <w:sz w:val="32"/>
          <w:szCs w:val="32"/>
          <w:highlight w:val="none"/>
        </w:rPr>
        <w:t>万元，其中：政府采购货物支出</w:t>
      </w:r>
      <w:r>
        <w:rPr>
          <w:rFonts w:hint="eastAsia" w:cs="Times New Roman"/>
          <w:color w:val="000000"/>
          <w:sz w:val="32"/>
          <w:szCs w:val="32"/>
          <w:lang w:val="en-US" w:eastAsia="zh-CN"/>
        </w:rPr>
        <w:t>0.00</w:t>
      </w:r>
      <w:r>
        <w:rPr>
          <w:rFonts w:hint="eastAsia" w:ascii="仿宋_GB2312" w:hAnsi="仿宋_GB2312" w:eastAsia="仿宋_GB2312" w:cs="仿宋_GB2312"/>
          <w:color w:val="auto"/>
          <w:sz w:val="32"/>
          <w:szCs w:val="32"/>
          <w:highlight w:val="none"/>
        </w:rPr>
        <w:t>万元、政府采购工程支出</w:t>
      </w:r>
      <w:r>
        <w:rPr>
          <w:rFonts w:hint="eastAsia" w:cs="Times New Roman"/>
          <w:color w:val="000000"/>
          <w:sz w:val="32"/>
          <w:szCs w:val="32"/>
          <w:lang w:val="en-US" w:eastAsia="zh-CN"/>
        </w:rPr>
        <w:t>0.00</w:t>
      </w:r>
      <w:r>
        <w:rPr>
          <w:rFonts w:hint="eastAsia" w:ascii="仿宋_GB2312" w:hAnsi="仿宋_GB2312" w:eastAsia="仿宋_GB2312" w:cs="仿宋_GB2312"/>
          <w:color w:val="auto"/>
          <w:sz w:val="32"/>
          <w:szCs w:val="32"/>
          <w:highlight w:val="none"/>
        </w:rPr>
        <w:t>万元、政府采购服务支出</w:t>
      </w:r>
      <w:r>
        <w:rPr>
          <w:rFonts w:hint="eastAsia" w:cs="Times New Roman"/>
          <w:color w:val="000000"/>
          <w:sz w:val="32"/>
          <w:szCs w:val="32"/>
          <w:lang w:val="en-US" w:eastAsia="zh-CN"/>
        </w:rPr>
        <w:t>18.40</w:t>
      </w:r>
      <w:r>
        <w:rPr>
          <w:rFonts w:hint="eastAsia" w:ascii="仿宋_GB2312" w:hAnsi="仿宋_GB2312" w:eastAsia="仿宋_GB2312" w:cs="仿宋_GB2312"/>
          <w:color w:val="auto"/>
          <w:sz w:val="32"/>
          <w:szCs w:val="32"/>
          <w:highlight w:val="none"/>
        </w:rPr>
        <w:t>万元。主要用于</w:t>
      </w:r>
      <w:r>
        <w:rPr>
          <w:rFonts w:hint="eastAsia" w:ascii="仿宋_GB2312" w:hAnsi="仿宋_GB2312" w:cs="仿宋_GB2312"/>
          <w:color w:val="auto"/>
          <w:sz w:val="32"/>
          <w:szCs w:val="32"/>
          <w:highlight w:val="none"/>
          <w:lang w:val="en-US" w:eastAsia="zh-CN"/>
        </w:rPr>
        <w:t>物业管理支出</w:t>
      </w:r>
      <w:r>
        <w:rPr>
          <w:rFonts w:hint="eastAsia" w:ascii="仿宋_GB2312" w:hAnsi="仿宋_GB2312" w:eastAsia="仿宋_GB2312" w:cs="仿宋_GB2312"/>
          <w:color w:val="auto"/>
          <w:sz w:val="32"/>
          <w:szCs w:val="32"/>
          <w:highlight w:val="none"/>
        </w:rPr>
        <w:t>。授予中小企业合同金额</w:t>
      </w:r>
      <w:r>
        <w:rPr>
          <w:rFonts w:hint="eastAsia" w:cs="Times New Roman"/>
          <w:color w:val="000000"/>
          <w:sz w:val="32"/>
          <w:szCs w:val="32"/>
          <w:lang w:val="en-US" w:eastAsia="zh-CN"/>
        </w:rPr>
        <w:t>18.40万元，占政府采购支出总额的100%，其中：授予小微企业合同金额0.00万元，占政府采购支出总额的0.00%。</w:t>
      </w:r>
    </w:p>
    <w:p w14:paraId="077EAC9D">
      <w:pPr>
        <w:pageBreakBefore w:val="0"/>
        <w:kinsoku/>
        <w:wordWrap/>
        <w:overflowPunct/>
        <w:topLinePunct w:val="0"/>
        <w:autoSpaceDE w:val="0"/>
        <w:autoSpaceDN w:val="0"/>
        <w:bidi w:val="0"/>
        <w:adjustRightInd w:val="0"/>
        <w:spacing w:line="560" w:lineRule="exact"/>
        <w:ind w:firstLine="643" w:firstLineChars="200"/>
        <w:jc w:val="left"/>
        <w:textAlignment w:val="auto"/>
        <w:outlineLvl w:val="2"/>
        <w:rPr>
          <w:rFonts w:hint="eastAsia" w:ascii="仿宋_GB2312" w:hAnsi="仿宋_GB2312" w:eastAsia="仿宋_GB2312" w:cs="仿宋_GB2312"/>
          <w:b/>
          <w:color w:val="000000"/>
          <w:sz w:val="32"/>
          <w:szCs w:val="32"/>
        </w:rPr>
      </w:pPr>
      <w:bookmarkStart w:id="50" w:name="_Toc15377224"/>
      <w:r>
        <w:rPr>
          <w:rFonts w:hint="eastAsia" w:ascii="仿宋_GB2312" w:hAnsi="仿宋_GB2312" w:eastAsia="仿宋_GB2312" w:cs="仿宋_GB2312"/>
          <w:b/>
          <w:color w:val="000000"/>
          <w:sz w:val="32"/>
          <w:szCs w:val="32"/>
        </w:rPr>
        <w:t>（三）国有资产占有使用情况</w:t>
      </w:r>
      <w:bookmarkEnd w:id="50"/>
    </w:p>
    <w:p w14:paraId="5F6AEA68">
      <w:pPr>
        <w:pageBreakBefore w:val="0"/>
        <w:kinsoku/>
        <w:wordWrap/>
        <w:overflowPunct/>
        <w:topLinePunct w:val="0"/>
        <w:autoSpaceDE w:val="0"/>
        <w:autoSpaceDN w:val="0"/>
        <w:bidi w:val="0"/>
        <w:adjustRightInd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cs="Times New Roman"/>
          <w:color w:val="000000"/>
          <w:sz w:val="32"/>
          <w:szCs w:val="32"/>
          <w:lang w:val="en-US" w:eastAsia="zh-CN"/>
        </w:rPr>
        <w:t>截至2023年12月31日，</w:t>
      </w:r>
      <w:r>
        <w:rPr>
          <w:rFonts w:hint="eastAsia" w:ascii="仿宋_GB2312" w:hAnsi="仿宋_GB2312" w:cs="仿宋_GB2312"/>
          <w:color w:val="auto"/>
          <w:sz w:val="32"/>
          <w:szCs w:val="32"/>
          <w:highlight w:val="none"/>
          <w:lang w:val="en-US" w:eastAsia="zh-CN"/>
        </w:rPr>
        <w:t>荣县人民检察院</w:t>
      </w:r>
      <w:r>
        <w:rPr>
          <w:rFonts w:hint="eastAsia" w:cs="Times New Roman"/>
          <w:color w:val="000000"/>
          <w:sz w:val="32"/>
          <w:szCs w:val="32"/>
          <w:lang w:val="en-US" w:eastAsia="zh-CN"/>
        </w:rPr>
        <w:t>共有车辆9辆，其中：主要领导干部用车0辆、机要通信用车0辆、应急保障用车0辆、其他用车0辆，</w:t>
      </w:r>
      <w:r>
        <w:rPr>
          <w:rFonts w:hint="eastAsia" w:cs="Times New Roman"/>
          <w:kern w:val="2"/>
          <w:sz w:val="32"/>
          <w:szCs w:val="24"/>
          <w:lang w:val="en-US" w:eastAsia="zh-CN" w:bidi="ar-SA"/>
        </w:rPr>
        <w:t>一般执法执勤用车7辆、特种专用技术用车2辆</w:t>
      </w:r>
      <w:r>
        <w:rPr>
          <w:rFonts w:hint="eastAsia" w:cs="Times New Roman"/>
          <w:color w:val="000000"/>
          <w:sz w:val="32"/>
          <w:szCs w:val="32"/>
          <w:lang w:val="en-US" w:eastAsia="zh-CN"/>
        </w:rPr>
        <w:t>。单价100万元以上专用设备0台（套）。</w:t>
      </w:r>
    </w:p>
    <w:p w14:paraId="4752EAE8">
      <w:pPr>
        <w:pageBreakBefore w:val="0"/>
        <w:kinsoku/>
        <w:wordWrap/>
        <w:overflowPunct/>
        <w:topLinePunct w:val="0"/>
        <w:autoSpaceDE w:val="0"/>
        <w:autoSpaceDN w:val="0"/>
        <w:bidi w:val="0"/>
        <w:adjustRightInd w:val="0"/>
        <w:spacing w:line="560" w:lineRule="exact"/>
        <w:ind w:firstLine="643" w:firstLineChars="200"/>
        <w:jc w:val="left"/>
        <w:textAlignment w:val="auto"/>
        <w:outlineLvl w:val="2"/>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（四）预算绩效管理情况</w:t>
      </w:r>
    </w:p>
    <w:p w14:paraId="0C6D75F0">
      <w:pPr>
        <w:pageBreakBefore w:val="0"/>
        <w:widowControl/>
        <w:kinsoku/>
        <w:wordWrap/>
        <w:overflowPunct/>
        <w:topLinePunct w:val="0"/>
        <w:bidi w:val="0"/>
        <w:spacing w:line="560" w:lineRule="exact"/>
        <w:ind w:firstLine="640" w:firstLineChars="200"/>
        <w:jc w:val="left"/>
        <w:textAlignment w:val="auto"/>
        <w:rPr>
          <w:rFonts w:hint="eastAsia" w:cs="Times New Roman"/>
          <w:kern w:val="2"/>
          <w:sz w:val="32"/>
          <w:szCs w:val="24"/>
          <w:lang w:val="en-US" w:eastAsia="zh-CN" w:bidi="ar-SA"/>
        </w:rPr>
      </w:pPr>
      <w:r>
        <w:rPr>
          <w:rFonts w:hint="eastAsia" w:ascii="仿宋_GB2312" w:hAnsi="仿宋_GB2312" w:eastAsia="仿宋_GB2312" w:cs="仿宋_GB2312"/>
          <w:color w:val="auto"/>
          <w:sz w:val="32"/>
          <w:szCs w:val="32"/>
          <w:highlight w:val="none"/>
        </w:rPr>
        <w:t>根据预算绩效管理要求，本部门在</w:t>
      </w:r>
      <w:r>
        <w:rPr>
          <w:rFonts w:hint="eastAsia" w:cs="Times New Roman"/>
          <w:kern w:val="2"/>
          <w:sz w:val="32"/>
          <w:szCs w:val="24"/>
          <w:lang w:val="en-US" w:eastAsia="zh-CN" w:bidi="ar-SA"/>
        </w:rPr>
        <w:t>2023</w:t>
      </w:r>
      <w:r>
        <w:rPr>
          <w:rFonts w:hint="eastAsia" w:ascii="仿宋_GB2312" w:hAnsi="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rPr>
        <w:t>度预算编制阶段，组织对</w:t>
      </w:r>
      <w:r>
        <w:rPr>
          <w:rFonts w:hint="eastAsia" w:ascii="仿宋_GB2312" w:hAnsi="仿宋" w:eastAsia="仿宋_GB2312"/>
          <w:sz w:val="32"/>
          <w:szCs w:val="32"/>
          <w:highlight w:val="none"/>
          <w:lang w:val="en-US" w:eastAsia="zh-CN"/>
        </w:rPr>
        <w:t>荣县检察院--司法救助项目</w:t>
      </w:r>
      <w:r>
        <w:rPr>
          <w:rFonts w:hint="eastAsia" w:ascii="仿宋_GB2312" w:hAnsi="仿宋"/>
          <w:sz w:val="32"/>
          <w:szCs w:val="32"/>
          <w:highlight w:val="none"/>
          <w:lang w:val="en-US" w:eastAsia="zh-CN"/>
        </w:rPr>
        <w:t>、</w:t>
      </w:r>
      <w:r>
        <w:rPr>
          <w:rFonts w:hint="eastAsia" w:ascii="仿宋_GB2312" w:hAnsi="仿宋" w:eastAsia="仿宋_GB2312"/>
          <w:sz w:val="32"/>
          <w:szCs w:val="32"/>
          <w:highlight w:val="none"/>
          <w:lang w:val="en-US" w:eastAsia="zh-CN"/>
        </w:rPr>
        <w:t>荣县检察院--司法</w:t>
      </w:r>
      <w:r>
        <w:rPr>
          <w:rFonts w:hint="eastAsia" w:ascii="仿宋_GB2312" w:hAnsi="仿宋"/>
          <w:sz w:val="32"/>
          <w:szCs w:val="32"/>
          <w:highlight w:val="none"/>
          <w:lang w:val="en-US" w:eastAsia="zh-CN"/>
        </w:rPr>
        <w:t>绩效</w:t>
      </w:r>
      <w:r>
        <w:rPr>
          <w:rFonts w:hint="eastAsia" w:ascii="仿宋_GB2312" w:hAnsi="仿宋" w:eastAsia="仿宋_GB2312"/>
          <w:sz w:val="32"/>
          <w:szCs w:val="32"/>
          <w:highlight w:val="none"/>
          <w:lang w:val="en-US" w:eastAsia="zh-CN"/>
        </w:rPr>
        <w:t>项目</w:t>
      </w:r>
      <w:r>
        <w:rPr>
          <w:rFonts w:hint="eastAsia" w:ascii="仿宋_GB2312" w:hAnsi="仿宋"/>
          <w:sz w:val="32"/>
          <w:szCs w:val="32"/>
          <w:highlight w:val="none"/>
          <w:lang w:val="en-US" w:eastAsia="zh-CN"/>
        </w:rPr>
        <w:t>、</w:t>
      </w:r>
      <w:r>
        <w:rPr>
          <w:rFonts w:hint="eastAsia" w:ascii="仿宋_GB2312" w:hAnsi="仿宋" w:eastAsia="仿宋_GB2312"/>
          <w:sz w:val="32"/>
          <w:szCs w:val="32"/>
          <w:highlight w:val="none"/>
          <w:lang w:val="en-US" w:eastAsia="zh-CN"/>
        </w:rPr>
        <w:t>荣县检察院--</w:t>
      </w:r>
      <w:r>
        <w:rPr>
          <w:rFonts w:hint="eastAsia" w:ascii="仿宋_GB2312" w:hAnsi="仿宋"/>
          <w:sz w:val="32"/>
          <w:szCs w:val="32"/>
          <w:highlight w:val="none"/>
          <w:lang w:val="en-US" w:eastAsia="zh-CN"/>
        </w:rPr>
        <w:t>办公办案项目、</w:t>
      </w:r>
      <w:r>
        <w:rPr>
          <w:rFonts w:hint="eastAsia" w:cs="Times New Roman"/>
          <w:kern w:val="2"/>
          <w:sz w:val="32"/>
          <w:szCs w:val="24"/>
          <w:lang w:val="en-US" w:eastAsia="zh-CN" w:bidi="ar-SA"/>
        </w:rPr>
        <w:t>荣县人民检察院--智慧检务项目（管理）等4个项目开展了预算事前绩效评估，对4个项目编制了绩效目标，预算执行过程中，选取4</w:t>
      </w:r>
      <w:bookmarkStart w:id="84" w:name="_GoBack"/>
      <w:bookmarkEnd w:id="84"/>
      <w:r>
        <w:rPr>
          <w:rFonts w:hint="eastAsia" w:cs="Times New Roman"/>
          <w:kern w:val="2"/>
          <w:sz w:val="32"/>
          <w:szCs w:val="24"/>
          <w:lang w:val="en-US" w:eastAsia="zh-CN" w:bidi="ar-SA"/>
        </w:rPr>
        <w:t>个项目开展绩效监控。</w:t>
      </w:r>
    </w:p>
    <w:p w14:paraId="1E38E97F">
      <w:pPr>
        <w:pStyle w:val="12"/>
        <w:pageBreakBefore w:val="0"/>
        <w:kinsoku/>
        <w:wordWrap/>
        <w:overflowPunct/>
        <w:topLinePunct w:val="0"/>
        <w:bidi w:val="0"/>
        <w:spacing w:line="560" w:lineRule="exact"/>
        <w:ind w:left="0" w:leftChars="0" w:firstLine="640"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color w:val="auto"/>
          <w:sz w:val="32"/>
          <w:szCs w:val="32"/>
          <w:highlight w:val="none"/>
        </w:rPr>
        <w:t>组织对</w:t>
      </w:r>
      <w:r>
        <w:rPr>
          <w:rFonts w:hint="eastAsia" w:cs="Times New Roman"/>
          <w:kern w:val="2"/>
          <w:sz w:val="32"/>
          <w:szCs w:val="24"/>
          <w:lang w:val="en-US" w:eastAsia="zh-CN" w:bidi="ar-SA"/>
        </w:rPr>
        <w:t>2023</w:t>
      </w:r>
      <w:r>
        <w:rPr>
          <w:rFonts w:hint="eastAsia" w:ascii="仿宋_GB2312" w:hAnsi="仿宋_GB2312" w:cs="仿宋_GB2312"/>
          <w:color w:val="auto"/>
          <w:sz w:val="32"/>
          <w:szCs w:val="32"/>
          <w:highlight w:val="none"/>
          <w:lang w:eastAsia="zh-CN"/>
        </w:rPr>
        <w:t>年</w:t>
      </w:r>
      <w:r>
        <w:rPr>
          <w:rFonts w:hint="eastAsia" w:ascii="仿宋_GB2312" w:hAnsi="仿宋_GB2312" w:eastAsia="仿宋_GB2312" w:cs="仿宋_GB2312"/>
          <w:color w:val="auto"/>
          <w:sz w:val="32"/>
          <w:szCs w:val="32"/>
          <w:highlight w:val="none"/>
        </w:rPr>
        <w:t>度一般公共预算、政府性基金预算、国有资本经营预算、社会保险基金预算以及资本资产、债券资金等全面开展绩效自评，形成</w:t>
      </w:r>
      <w:r>
        <w:rPr>
          <w:rFonts w:hint="eastAsia" w:ascii="仿宋_GB2312" w:hAnsi="仿宋_GB2312" w:cs="仿宋_GB2312"/>
          <w:color w:val="auto"/>
          <w:sz w:val="32"/>
          <w:szCs w:val="32"/>
          <w:highlight w:val="none"/>
          <w:lang w:val="en-US" w:eastAsia="zh-CN"/>
        </w:rPr>
        <w:t>荣县人民检察院</w:t>
      </w:r>
      <w:r>
        <w:rPr>
          <w:rFonts w:hint="eastAsia" w:ascii="仿宋_GB2312" w:hAnsi="仿宋_GB2312" w:eastAsia="仿宋_GB2312" w:cs="仿宋_GB2312"/>
          <w:color w:val="auto"/>
          <w:sz w:val="32"/>
          <w:szCs w:val="32"/>
          <w:highlight w:val="none"/>
        </w:rPr>
        <w:t>部门整体（含部门预算项目）绩效自评报告</w:t>
      </w:r>
      <w:r>
        <w:rPr>
          <w:rFonts w:hint="eastAsia" w:ascii="仿宋_GB2312" w:hAnsi="仿宋_GB2312" w:cs="仿宋_GB2312"/>
          <w:color w:val="auto"/>
          <w:sz w:val="32"/>
          <w:szCs w:val="32"/>
          <w:highlight w:val="none"/>
          <w:lang w:eastAsia="zh-CN"/>
        </w:rPr>
        <w:t>，</w:t>
      </w:r>
      <w:r>
        <w:rPr>
          <w:rFonts w:hint="eastAsia" w:ascii="仿宋_GB2312" w:hAnsi="仿宋" w:eastAsia="仿宋_GB2312"/>
          <w:sz w:val="32"/>
          <w:szCs w:val="32"/>
          <w:highlight w:val="none"/>
          <w:lang w:val="en-US" w:eastAsia="zh-CN"/>
        </w:rPr>
        <w:t>荣县检察院--司法救助项目</w:t>
      </w:r>
      <w:r>
        <w:rPr>
          <w:rFonts w:hint="eastAsia" w:ascii="仿宋_GB2312" w:hAnsi="仿宋"/>
          <w:sz w:val="32"/>
          <w:szCs w:val="32"/>
          <w:highlight w:val="none"/>
          <w:lang w:val="en-US" w:eastAsia="zh-CN"/>
        </w:rPr>
        <w:t>、</w:t>
      </w:r>
      <w:r>
        <w:rPr>
          <w:rFonts w:hint="eastAsia" w:ascii="仿宋_GB2312" w:hAnsi="仿宋" w:eastAsia="仿宋_GB2312"/>
          <w:sz w:val="32"/>
          <w:szCs w:val="32"/>
          <w:highlight w:val="none"/>
          <w:lang w:val="en-US" w:eastAsia="zh-CN"/>
        </w:rPr>
        <w:t>荣县检察院--司法</w:t>
      </w:r>
      <w:r>
        <w:rPr>
          <w:rFonts w:hint="eastAsia" w:ascii="仿宋_GB2312" w:hAnsi="仿宋"/>
          <w:sz w:val="32"/>
          <w:szCs w:val="32"/>
          <w:highlight w:val="none"/>
          <w:lang w:val="en-US" w:eastAsia="zh-CN"/>
        </w:rPr>
        <w:t>绩效</w:t>
      </w:r>
      <w:r>
        <w:rPr>
          <w:rFonts w:hint="eastAsia" w:ascii="仿宋_GB2312" w:hAnsi="仿宋" w:eastAsia="仿宋_GB2312"/>
          <w:sz w:val="32"/>
          <w:szCs w:val="32"/>
          <w:highlight w:val="none"/>
          <w:lang w:val="en-US" w:eastAsia="zh-CN"/>
        </w:rPr>
        <w:t>项目</w:t>
      </w:r>
      <w:r>
        <w:rPr>
          <w:rFonts w:hint="eastAsia" w:ascii="仿宋_GB2312" w:hAnsi="仿宋"/>
          <w:sz w:val="32"/>
          <w:szCs w:val="32"/>
          <w:highlight w:val="none"/>
          <w:lang w:val="en-US" w:eastAsia="zh-CN"/>
        </w:rPr>
        <w:t>、</w:t>
      </w:r>
      <w:r>
        <w:rPr>
          <w:rFonts w:hint="eastAsia" w:ascii="仿宋_GB2312" w:hAnsi="仿宋" w:eastAsia="仿宋_GB2312"/>
          <w:sz w:val="32"/>
          <w:szCs w:val="32"/>
          <w:highlight w:val="none"/>
          <w:lang w:val="en-US" w:eastAsia="zh-CN"/>
        </w:rPr>
        <w:t>荣县检察院--</w:t>
      </w:r>
      <w:r>
        <w:rPr>
          <w:rFonts w:hint="eastAsia" w:ascii="仿宋_GB2312" w:hAnsi="仿宋"/>
          <w:sz w:val="32"/>
          <w:szCs w:val="32"/>
          <w:highlight w:val="none"/>
          <w:lang w:val="en-US" w:eastAsia="zh-CN"/>
        </w:rPr>
        <w:t>办公办案项目、</w:t>
      </w:r>
      <w:r>
        <w:rPr>
          <w:rFonts w:hint="eastAsia" w:cs="Times New Roman"/>
          <w:kern w:val="2"/>
          <w:sz w:val="32"/>
          <w:szCs w:val="24"/>
          <w:lang w:val="en-US" w:eastAsia="zh-CN" w:bidi="ar-SA"/>
        </w:rPr>
        <w:t>荣县人民检察院--智慧检务项目（管理）</w:t>
      </w:r>
      <w:r>
        <w:rPr>
          <w:rFonts w:hint="eastAsia" w:ascii="仿宋_GB2312" w:hAnsi="仿宋_GB2312" w:eastAsia="仿宋_GB2312" w:cs="仿宋_GB2312"/>
          <w:color w:val="auto"/>
          <w:sz w:val="32"/>
          <w:szCs w:val="32"/>
          <w:highlight w:val="none"/>
        </w:rPr>
        <w:t>等专项预算项目绩效自评</w:t>
      </w:r>
      <w:r>
        <w:rPr>
          <w:rFonts w:hint="eastAsia" w:ascii="仿宋_GB2312" w:hAnsi="仿宋_GB2312" w:cs="仿宋_GB2312"/>
          <w:color w:val="auto"/>
          <w:sz w:val="32"/>
          <w:szCs w:val="32"/>
          <w:highlight w:val="none"/>
          <w:lang w:val="en-US" w:eastAsia="zh-CN"/>
        </w:rPr>
        <w:t>表</w:t>
      </w:r>
      <w:r>
        <w:rPr>
          <w:rFonts w:hint="eastAsia" w:ascii="仿宋_GB2312" w:hAnsi="仿宋_GB2312" w:eastAsia="仿宋_GB2312" w:cs="仿宋_GB2312"/>
          <w:color w:val="auto"/>
          <w:sz w:val="32"/>
          <w:szCs w:val="32"/>
          <w:highlight w:val="none"/>
        </w:rPr>
        <w:t>，其中，</w:t>
      </w:r>
      <w:r>
        <w:rPr>
          <w:rFonts w:hint="eastAsia" w:ascii="仿宋_GB2312" w:hAnsi="仿宋_GB2312" w:cs="仿宋_GB2312"/>
          <w:color w:val="auto"/>
          <w:sz w:val="32"/>
          <w:szCs w:val="32"/>
          <w:highlight w:val="none"/>
          <w:lang w:val="en-US" w:eastAsia="zh-CN"/>
        </w:rPr>
        <w:t>荣县人民检察院</w:t>
      </w:r>
      <w:r>
        <w:rPr>
          <w:rFonts w:hint="eastAsia" w:ascii="仿宋_GB2312" w:hAnsi="仿宋_GB2312" w:eastAsia="仿宋_GB2312" w:cs="仿宋_GB2312"/>
          <w:color w:val="auto"/>
          <w:sz w:val="32"/>
          <w:szCs w:val="32"/>
          <w:highlight w:val="none"/>
        </w:rPr>
        <w:t>部门整体（含部门预算项目）绩效自评得分为</w:t>
      </w:r>
      <w:r>
        <w:rPr>
          <w:rFonts w:hint="eastAsia" w:cs="Times New Roman"/>
          <w:kern w:val="2"/>
          <w:sz w:val="32"/>
          <w:szCs w:val="24"/>
          <w:lang w:val="en-US" w:eastAsia="zh-CN" w:bidi="ar-SA"/>
        </w:rPr>
        <w:t>95.5</w:t>
      </w:r>
      <w:r>
        <w:rPr>
          <w:rFonts w:hint="eastAsia" w:ascii="仿宋_GB2312" w:hAnsi="仿宋_GB2312" w:eastAsia="仿宋_GB2312" w:cs="仿宋_GB2312"/>
          <w:color w:val="auto"/>
          <w:sz w:val="32"/>
          <w:szCs w:val="32"/>
          <w:highlight w:val="none"/>
        </w:rPr>
        <w:t>分，绩效自评综述：</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eastAsia="仿宋_GB2312"/>
          <w:sz w:val="32"/>
          <w:szCs w:val="32"/>
        </w:rPr>
        <w:t>年，荣县</w:t>
      </w:r>
      <w:r>
        <w:rPr>
          <w:rFonts w:hint="eastAsia" w:eastAsia="仿宋_GB2312"/>
          <w:sz w:val="32"/>
          <w:szCs w:val="32"/>
        </w:rPr>
        <w:t>人民检察院</w:t>
      </w:r>
      <w:r>
        <w:rPr>
          <w:rFonts w:eastAsia="仿宋_GB2312"/>
          <w:sz w:val="32"/>
          <w:szCs w:val="32"/>
        </w:rPr>
        <w:t>在县委和市检察院</w:t>
      </w:r>
      <w:r>
        <w:rPr>
          <w:rFonts w:hint="eastAsia" w:eastAsia="仿宋_GB2312"/>
          <w:sz w:val="32"/>
          <w:szCs w:val="32"/>
        </w:rPr>
        <w:t>的</w:t>
      </w:r>
      <w:r>
        <w:rPr>
          <w:rFonts w:eastAsia="仿宋_GB2312"/>
          <w:sz w:val="32"/>
          <w:szCs w:val="32"/>
        </w:rPr>
        <w:t>坚强领导下，在县人大及其常委会有力监督、县政府大力支持和县政协民主监督下，</w:t>
      </w:r>
      <w:r>
        <w:rPr>
          <w:rFonts w:hint="eastAsia" w:eastAsia="仿宋_GB2312"/>
          <w:sz w:val="32"/>
          <w:szCs w:val="32"/>
        </w:rPr>
        <w:t>坚持以习近平新时代中国特色社会主义思想为指导，深入践行习近平法治思想，全面</w:t>
      </w:r>
      <w:r>
        <w:rPr>
          <w:rFonts w:eastAsia="仿宋_GB2312"/>
          <w:sz w:val="32"/>
          <w:szCs w:val="32"/>
        </w:rPr>
        <w:t>贯彻党的</w:t>
      </w:r>
      <w:r>
        <w:rPr>
          <w:rFonts w:hint="eastAsia" w:eastAsia="仿宋_GB2312"/>
          <w:sz w:val="32"/>
          <w:szCs w:val="32"/>
        </w:rPr>
        <w:t>二十</w:t>
      </w:r>
      <w:r>
        <w:rPr>
          <w:rFonts w:eastAsia="仿宋_GB2312"/>
          <w:sz w:val="32"/>
          <w:szCs w:val="32"/>
        </w:rPr>
        <w:t>大精神，</w:t>
      </w:r>
      <w:r>
        <w:rPr>
          <w:rFonts w:hint="eastAsia" w:eastAsia="仿宋_GB2312"/>
          <w:sz w:val="32"/>
          <w:szCs w:val="32"/>
        </w:rPr>
        <w:t>认真</w:t>
      </w:r>
      <w:r>
        <w:rPr>
          <w:rFonts w:eastAsia="仿宋_GB2312"/>
          <w:sz w:val="32"/>
          <w:szCs w:val="32"/>
        </w:rPr>
        <w:t>落实</w:t>
      </w:r>
      <w:r>
        <w:rPr>
          <w:rFonts w:hint="eastAsia" w:eastAsia="仿宋_GB2312"/>
          <w:sz w:val="32"/>
          <w:szCs w:val="32"/>
        </w:rPr>
        <w:t>《中共中央关于加强新时代检察机关法律监督工作的意见》</w:t>
      </w:r>
      <w:r>
        <w:rPr>
          <w:rFonts w:eastAsia="仿宋_GB2312"/>
          <w:sz w:val="32"/>
          <w:szCs w:val="32"/>
        </w:rPr>
        <w:t>，</w:t>
      </w:r>
      <w:r>
        <w:rPr>
          <w:rFonts w:ascii="Times New Roman" w:hAnsi="Times New Roman" w:eastAsia="仿宋_GB2312" w:cs="Times New Roman"/>
          <w:sz w:val="32"/>
          <w:szCs w:val="32"/>
        </w:rPr>
        <w:t>聚焦县委</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124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发展思路</w:t>
      </w:r>
      <w:r>
        <w:rPr>
          <w:rFonts w:hint="eastAsia" w:ascii="Times New Roman" w:hAnsi="Times New Roman" w:eastAsia="仿宋_GB2312" w:cs="Times New Roman"/>
          <w:sz w:val="32"/>
          <w:szCs w:val="32"/>
        </w:rPr>
        <w:t>，</w:t>
      </w:r>
      <w:r>
        <w:rPr>
          <w:rFonts w:hint="eastAsia" w:eastAsia="仿宋_GB2312"/>
          <w:sz w:val="32"/>
          <w:szCs w:val="32"/>
        </w:rPr>
        <w:t>立足法律监督职能，</w:t>
      </w:r>
      <w:r>
        <w:rPr>
          <w:rFonts w:eastAsia="仿宋_GB2312"/>
          <w:sz w:val="32"/>
          <w:szCs w:val="32"/>
        </w:rPr>
        <w:t>依法能动</w:t>
      </w:r>
      <w:r>
        <w:rPr>
          <w:rFonts w:hint="eastAsia" w:eastAsia="仿宋_GB2312"/>
          <w:sz w:val="32"/>
          <w:szCs w:val="32"/>
        </w:rPr>
        <w:t>履职，维护公平正义，</w:t>
      </w:r>
      <w:r>
        <w:rPr>
          <w:rFonts w:eastAsia="仿宋_GB2312"/>
          <w:sz w:val="32"/>
          <w:szCs w:val="32"/>
        </w:rPr>
        <w:t>为全</w:t>
      </w:r>
      <w:r>
        <w:rPr>
          <w:rFonts w:hint="eastAsia" w:eastAsia="仿宋_GB2312"/>
          <w:sz w:val="32"/>
          <w:szCs w:val="32"/>
        </w:rPr>
        <w:t>县</w:t>
      </w:r>
      <w:r>
        <w:rPr>
          <w:rFonts w:eastAsia="仿宋_GB2312"/>
          <w:sz w:val="32"/>
          <w:szCs w:val="32"/>
        </w:rPr>
        <w:t>经济社会高质量发展提供有力司法保障。</w:t>
      </w:r>
      <w:r>
        <w:rPr>
          <w:rFonts w:hint="eastAsia" w:ascii="仿宋_GB2312" w:hAnsi="仿宋_GB2312" w:eastAsia="仿宋_GB2312" w:cs="仿宋_GB2312"/>
          <w:b/>
          <w:color w:val="000000"/>
          <w:sz w:val="32"/>
          <w:szCs w:val="32"/>
        </w:rPr>
        <w:br w:type="page"/>
      </w:r>
    </w:p>
    <w:p w14:paraId="2A5D31F3">
      <w:pPr>
        <w:pageBreakBefore w:val="0"/>
        <w:numPr>
          <w:ilvl w:val="0"/>
          <w:numId w:val="3"/>
        </w:numPr>
        <w:kinsoku/>
        <w:wordWrap/>
        <w:overflowPunct/>
        <w:topLinePunct w:val="0"/>
        <w:bidi w:val="0"/>
        <w:spacing w:line="560" w:lineRule="exact"/>
        <w:ind w:firstLine="660" w:firstLineChars="150"/>
        <w:jc w:val="center"/>
        <w:textAlignment w:val="auto"/>
        <w:outlineLvl w:val="0"/>
        <w:rPr>
          <w:rStyle w:val="18"/>
          <w:rFonts w:ascii="黑体" w:hAnsi="黑体" w:eastAsia="黑体"/>
          <w:b w:val="0"/>
        </w:rPr>
      </w:pPr>
      <w:bookmarkStart w:id="51" w:name="_Toc15377225"/>
      <w:bookmarkStart w:id="52" w:name="_Toc6447"/>
      <w:bookmarkStart w:id="53" w:name="_Toc15396613"/>
      <w:r>
        <w:rPr>
          <w:rFonts w:hint="eastAsia" w:ascii="黑体" w:hAnsi="黑体" w:eastAsia="黑体"/>
          <w:color w:val="000000"/>
          <w:sz w:val="44"/>
          <w:szCs w:val="44"/>
        </w:rPr>
        <w:t>名</w:t>
      </w:r>
      <w:r>
        <w:rPr>
          <w:rStyle w:val="18"/>
          <w:rFonts w:hint="eastAsia" w:ascii="黑体" w:hAnsi="黑体" w:eastAsia="黑体"/>
          <w:b w:val="0"/>
        </w:rPr>
        <w:t>词解释</w:t>
      </w:r>
      <w:bookmarkEnd w:id="51"/>
      <w:bookmarkEnd w:id="52"/>
      <w:bookmarkEnd w:id="53"/>
    </w:p>
    <w:p w14:paraId="17B437AF">
      <w:pPr>
        <w:pageBreakBefore w:val="0"/>
        <w:kinsoku/>
        <w:wordWrap/>
        <w:overflowPunct/>
        <w:topLinePunct w:val="0"/>
        <w:bidi w:val="0"/>
        <w:spacing w:line="560" w:lineRule="exact"/>
        <w:jc w:val="left"/>
        <w:textAlignment w:val="auto"/>
        <w:rPr>
          <w:rFonts w:ascii="宋体"/>
          <w:b/>
          <w:color w:val="000000"/>
          <w:sz w:val="44"/>
          <w:szCs w:val="44"/>
        </w:rPr>
      </w:pPr>
    </w:p>
    <w:p w14:paraId="15BD1950">
      <w:pPr>
        <w:pStyle w:val="21"/>
        <w:pageBreakBefore w:val="0"/>
        <w:kinsoku/>
        <w:wordWrap/>
        <w:overflowPunct/>
        <w:topLinePunct w:val="0"/>
        <w:bidi w:val="0"/>
        <w:spacing w:line="560" w:lineRule="exact"/>
        <w:ind w:firstLine="640" w:firstLineChars="200"/>
        <w:textAlignment w:val="auto"/>
        <w:rPr>
          <w:rFonts w:ascii="仿宋_GB2312" w:eastAsia="仿宋_GB2312"/>
          <w:color w:val="auto"/>
          <w:sz w:val="32"/>
          <w:szCs w:val="32"/>
          <w:highlight w:val="none"/>
        </w:rPr>
      </w:pPr>
      <w:bookmarkStart w:id="54" w:name="_Toc15377226"/>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w:t>
      </w:r>
      <w:r>
        <w:rPr>
          <w:rFonts w:hint="eastAsia" w:ascii="仿宋_GB2312" w:hAnsi="仿宋_GB2312" w:eastAsia="仿宋_GB2312" w:cs="仿宋_GB2312"/>
          <w:color w:val="auto"/>
          <w:sz w:val="32"/>
          <w:szCs w:val="32"/>
        </w:rPr>
        <w:t>指</w:t>
      </w:r>
      <w:r>
        <w:rPr>
          <w:rFonts w:hint="eastAsia" w:ascii="仿宋_GB2312" w:hAnsi="仿宋_GB2312" w:eastAsia="仿宋_GB2312" w:cs="仿宋_GB2312"/>
          <w:color w:val="auto"/>
          <w:sz w:val="32"/>
          <w:szCs w:val="32"/>
          <w:lang w:val="en-US" w:eastAsia="zh-CN"/>
        </w:rPr>
        <w:t>部门</w:t>
      </w:r>
      <w:r>
        <w:rPr>
          <w:rFonts w:hint="eastAsia" w:ascii="仿宋_GB2312" w:hAnsi="仿宋_GB2312" w:eastAsia="仿宋_GB2312" w:cs="仿宋_GB2312"/>
          <w:color w:val="auto"/>
          <w:sz w:val="32"/>
          <w:szCs w:val="32"/>
        </w:rPr>
        <w:t>从</w:t>
      </w:r>
      <w:r>
        <w:rPr>
          <w:rFonts w:hint="eastAsia" w:ascii="仿宋_GB2312" w:hAnsi="仿宋_GB2312" w:eastAsia="仿宋_GB2312" w:cs="仿宋_GB2312"/>
          <w:color w:val="auto"/>
          <w:sz w:val="32"/>
          <w:szCs w:val="32"/>
          <w:lang w:val="en-US" w:eastAsia="zh-CN"/>
        </w:rPr>
        <w:t>自贡市</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取得的财政预算资金。</w:t>
      </w:r>
    </w:p>
    <w:p w14:paraId="0BEAF878">
      <w:pPr>
        <w:pStyle w:val="21"/>
        <w:pageBreakBefore w:val="0"/>
        <w:kinsoku/>
        <w:wordWrap/>
        <w:overflowPunct/>
        <w:topLinePunct w:val="0"/>
        <w:bidi w:val="0"/>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其他收入：</w:t>
      </w:r>
      <w:r>
        <w:rPr>
          <w:rFonts w:hint="eastAsia" w:ascii="仿宋_GB2312" w:hAnsi="仿宋_GB2312" w:eastAsia="仿宋_GB2312" w:cs="仿宋_GB2312"/>
          <w:color w:val="auto"/>
          <w:sz w:val="32"/>
          <w:szCs w:val="32"/>
        </w:rPr>
        <w:t>指</w:t>
      </w:r>
      <w:r>
        <w:rPr>
          <w:rFonts w:hint="eastAsia" w:ascii="仿宋_GB2312" w:hAnsi="仿宋_GB2312" w:eastAsia="仿宋_GB2312" w:cs="仿宋_GB2312"/>
          <w:color w:val="auto"/>
          <w:sz w:val="32"/>
          <w:szCs w:val="32"/>
          <w:lang w:val="en-US" w:eastAsia="zh-CN"/>
        </w:rPr>
        <w:t>部门</w:t>
      </w:r>
      <w:r>
        <w:rPr>
          <w:rFonts w:hint="eastAsia" w:ascii="仿宋_GB2312" w:hAnsi="仿宋_GB2312" w:eastAsia="仿宋_GB2312" w:cs="仿宋_GB2312"/>
          <w:color w:val="auto"/>
          <w:sz w:val="32"/>
          <w:szCs w:val="32"/>
        </w:rPr>
        <w:t>取得的</w:t>
      </w:r>
      <w:r>
        <w:rPr>
          <w:rFonts w:hint="eastAsia" w:ascii="仿宋_GB2312" w:hAnsi="仿宋_GB2312" w:eastAsia="仿宋_GB2312" w:cs="仿宋_GB2312"/>
          <w:color w:val="auto"/>
          <w:sz w:val="32"/>
          <w:szCs w:val="32"/>
          <w:lang w:val="en-US" w:eastAsia="zh-CN"/>
        </w:rPr>
        <w:t>荣县财政局拨付的非同级财政拨款资金收入</w:t>
      </w:r>
      <w:r>
        <w:rPr>
          <w:rFonts w:hint="eastAsia" w:ascii="仿宋_GB2312" w:eastAsia="仿宋_GB2312"/>
          <w:color w:val="auto"/>
          <w:sz w:val="32"/>
          <w:szCs w:val="32"/>
          <w:highlight w:val="none"/>
        </w:rPr>
        <w:t>。</w:t>
      </w:r>
      <w:r>
        <w:rPr>
          <w:rFonts w:ascii="仿宋_GB2312" w:eastAsia="仿宋_GB2312"/>
          <w:color w:val="auto"/>
          <w:sz w:val="32"/>
          <w:szCs w:val="32"/>
          <w:highlight w:val="none"/>
        </w:rPr>
        <w:t xml:space="preserve"> </w:t>
      </w:r>
    </w:p>
    <w:p w14:paraId="77F055C4">
      <w:pPr>
        <w:pStyle w:val="21"/>
        <w:pageBreakBefore w:val="0"/>
        <w:kinsoku/>
        <w:wordWrap/>
        <w:overflowPunct/>
        <w:topLinePunct w:val="0"/>
        <w:bidi w:val="0"/>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ascii="仿宋_GB2312" w:eastAsia="仿宋_GB2312"/>
          <w:color w:val="auto"/>
          <w:sz w:val="32"/>
          <w:szCs w:val="32"/>
          <w:highlight w:val="none"/>
        </w:rPr>
        <w:t>.</w:t>
      </w:r>
      <w:r>
        <w:rPr>
          <w:rFonts w:hint="eastAsia" w:ascii="仿宋_GB2312" w:eastAsia="仿宋_GB2312"/>
          <w:color w:val="auto"/>
          <w:sz w:val="32"/>
          <w:szCs w:val="32"/>
          <w:highlight w:val="none"/>
        </w:rPr>
        <w:t>年初结转和结余：</w:t>
      </w:r>
      <w:r>
        <w:rPr>
          <w:rFonts w:hint="eastAsia" w:ascii="仿宋_GB2312" w:hAnsi="仿宋_GB2312" w:eastAsia="仿宋_GB2312" w:cs="仿宋_GB2312"/>
          <w:color w:val="auto"/>
          <w:sz w:val="32"/>
          <w:szCs w:val="32"/>
        </w:rPr>
        <w:t>指以前年度尚未完成、结转到本年按有关规定继续使用的资金。</w:t>
      </w:r>
      <w:r>
        <w:rPr>
          <w:rFonts w:ascii="仿宋_GB2312" w:eastAsia="仿宋_GB2312"/>
          <w:color w:val="auto"/>
          <w:sz w:val="32"/>
          <w:szCs w:val="32"/>
          <w:highlight w:val="none"/>
        </w:rPr>
        <w:t xml:space="preserve"> </w:t>
      </w:r>
    </w:p>
    <w:p w14:paraId="16D010B3">
      <w:pPr>
        <w:pStyle w:val="21"/>
        <w:pageBreakBefore w:val="0"/>
        <w:kinsoku/>
        <w:wordWrap/>
        <w:overflowPunct/>
        <w:topLinePunct w:val="0"/>
        <w:bidi w:val="0"/>
        <w:spacing w:line="560" w:lineRule="exact"/>
        <w:ind w:firstLine="640" w:firstLineChars="200"/>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4</w:t>
      </w:r>
      <w:r>
        <w:rPr>
          <w:rFonts w:ascii="仿宋_GB2312" w:eastAsia="仿宋_GB2312"/>
          <w:color w:val="auto"/>
          <w:sz w:val="32"/>
          <w:szCs w:val="32"/>
          <w:highlight w:val="none"/>
        </w:rPr>
        <w:t>.</w:t>
      </w:r>
      <w:r>
        <w:rPr>
          <w:rFonts w:hint="eastAsia" w:ascii="仿宋_GB2312" w:hAnsi="仿宋_GB2312" w:eastAsia="仿宋_GB2312" w:cs="仿宋_GB2312"/>
          <w:color w:val="auto"/>
          <w:sz w:val="32"/>
          <w:szCs w:val="32"/>
        </w:rPr>
        <w:t>年末结转和结余：指</w:t>
      </w:r>
      <w:r>
        <w:rPr>
          <w:rFonts w:hint="eastAsia" w:ascii="仿宋_GB2312" w:hAnsi="仿宋_GB2312" w:eastAsia="仿宋_GB2312" w:cs="仿宋_GB2312"/>
          <w:color w:val="auto"/>
          <w:sz w:val="32"/>
          <w:szCs w:val="32"/>
          <w:lang w:val="en-US" w:eastAsia="zh-CN"/>
        </w:rPr>
        <w:t>部门</w:t>
      </w:r>
      <w:r>
        <w:rPr>
          <w:rFonts w:hint="eastAsia" w:ascii="仿宋_GB2312" w:hAnsi="仿宋_GB2312" w:eastAsia="仿宋_GB2312" w:cs="仿宋_GB2312"/>
          <w:color w:val="auto"/>
          <w:sz w:val="32"/>
          <w:szCs w:val="32"/>
        </w:rPr>
        <w:t>按有关规定结转到下年或以后年度继续使用的资金</w:t>
      </w:r>
      <w:r>
        <w:rPr>
          <w:rFonts w:hint="eastAsia" w:ascii="仿宋_GB2312" w:eastAsia="仿宋_GB2312"/>
          <w:color w:val="auto"/>
          <w:sz w:val="32"/>
          <w:szCs w:val="32"/>
          <w:highlight w:val="none"/>
        </w:rPr>
        <w:t>。</w:t>
      </w:r>
    </w:p>
    <w:p w14:paraId="192CF704">
      <w:pPr>
        <w:pStyle w:val="21"/>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5.公共安全支出（类）检察（款）行政运行（项）：指检察机关日常行政运转所需的人员经费、公用经费支出。</w:t>
      </w:r>
    </w:p>
    <w:p w14:paraId="25FA93A8">
      <w:pPr>
        <w:pStyle w:val="21"/>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6.公共安全支出（类）检察（款）一般行政管理事务（项）：</w:t>
      </w:r>
    </w:p>
    <w:p w14:paraId="7D185CD1">
      <w:pPr>
        <w:pStyle w:val="21"/>
        <w:pageBreakBefore w:val="0"/>
        <w:kinsoku/>
        <w:wordWrap/>
        <w:overflowPunct/>
        <w:topLinePunct w:val="0"/>
        <w:bidi w:val="0"/>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指用于检察机关办案所需的业务经费支出。</w:t>
      </w:r>
    </w:p>
    <w:p w14:paraId="6C9B2510">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7</w:t>
      </w:r>
      <w:r>
        <w:rPr>
          <w:rFonts w:hint="eastAsia" w:ascii="仿宋_GB2312" w:hAnsi="仿宋_GB2312" w:eastAsia="仿宋_GB2312" w:cs="仿宋_GB2312"/>
          <w:color w:val="auto"/>
          <w:sz w:val="32"/>
          <w:szCs w:val="32"/>
        </w:rPr>
        <w:t>.社会保障和就业（类）行政事业单位离退休（款）行政单位离退休（项）：指用于退休职工的年终一次性慰问金。</w:t>
      </w:r>
    </w:p>
    <w:p w14:paraId="41442325">
      <w:pPr>
        <w:pStyle w:val="21"/>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8.社会保障和就业（类）行政事业单位离退休（款）机关事业单位基本养老保险（项）：指用于在职职工单位缴纳的养老保险。</w:t>
      </w:r>
    </w:p>
    <w:p w14:paraId="2A086E38">
      <w:pPr>
        <w:pageBreakBefore w:val="0"/>
        <w:kinsoku/>
        <w:wordWrap/>
        <w:overflowPunct/>
        <w:topLinePunct w:val="0"/>
        <w:bidi w:val="0"/>
        <w:spacing w:line="560" w:lineRule="exact"/>
        <w:textAlignment w:val="auto"/>
        <w:rPr>
          <w:rFonts w:hint="eastAsia"/>
          <w:lang w:val="en-US" w:eastAsia="zh-CN"/>
        </w:rPr>
      </w:pPr>
      <w:r>
        <w:rPr>
          <w:rFonts w:hint="eastAsia" w:ascii="仿宋_GB2312" w:hAnsi="仿宋_GB2312" w:cs="仿宋_GB2312"/>
          <w:color w:val="auto"/>
          <w:kern w:val="2"/>
          <w:sz w:val="32"/>
          <w:szCs w:val="32"/>
          <w:lang w:val="en-US" w:eastAsia="zh-CN" w:bidi="ar-SA"/>
        </w:rPr>
        <w:t xml:space="preserve">    9.社会保障和就业（类）行政事业单位离退休（款）机关事业单位职业年金缴费（项）：指用于退休职工单位缴纳的职业年金。</w:t>
      </w:r>
    </w:p>
    <w:p w14:paraId="77AA31F7">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cs="仿宋_GB2312"/>
          <w:color w:val="auto"/>
          <w:sz w:val="32"/>
          <w:szCs w:val="32"/>
          <w:lang w:val="en-US" w:eastAsia="zh-CN"/>
        </w:rPr>
        <w:t>0.</w:t>
      </w:r>
      <w:r>
        <w:rPr>
          <w:rFonts w:hint="eastAsia" w:ascii="仿宋_GB2312" w:hAnsi="仿宋_GB2312" w:eastAsia="仿宋_GB2312" w:cs="仿宋_GB2312"/>
          <w:color w:val="auto"/>
          <w:sz w:val="32"/>
          <w:szCs w:val="32"/>
        </w:rPr>
        <w:t>医疗卫生与计划生育（类）</w:t>
      </w:r>
      <w:r>
        <w:rPr>
          <w:rStyle w:val="16"/>
          <w:rFonts w:hint="eastAsia" w:ascii="仿宋_GB2312" w:hAnsi="仿宋_GB2312" w:cs="仿宋_GB2312"/>
          <w:b w:val="0"/>
          <w:bCs w:val="0"/>
          <w:color w:val="auto"/>
          <w:sz w:val="32"/>
          <w:szCs w:val="32"/>
          <w:lang w:eastAsia="zh-CN"/>
        </w:rPr>
        <w:t>行政事业单位医疗</w:t>
      </w:r>
      <w:r>
        <w:rPr>
          <w:rFonts w:hint="eastAsia" w:ascii="仿宋_GB2312" w:hAnsi="仿宋_GB2312" w:eastAsia="仿宋_GB2312" w:cs="仿宋_GB2312"/>
          <w:b w:val="0"/>
          <w:bCs w:val="0"/>
          <w:color w:val="auto"/>
          <w:sz w:val="32"/>
          <w:szCs w:val="32"/>
        </w:rPr>
        <w:t>（款）</w:t>
      </w:r>
      <w:r>
        <w:rPr>
          <w:rStyle w:val="16"/>
          <w:rFonts w:hint="eastAsia" w:ascii="仿宋_GB2312" w:hAnsi="仿宋_GB2312" w:cs="仿宋_GB2312"/>
          <w:b w:val="0"/>
          <w:bCs w:val="0"/>
          <w:color w:val="auto"/>
          <w:sz w:val="32"/>
          <w:szCs w:val="32"/>
          <w:lang w:eastAsia="zh-CN"/>
        </w:rPr>
        <w:t>行政单位医疗</w:t>
      </w:r>
      <w:r>
        <w:rPr>
          <w:rFonts w:hint="eastAsia" w:ascii="仿宋_GB2312" w:hAnsi="仿宋_GB2312" w:eastAsia="仿宋_GB2312" w:cs="仿宋_GB2312"/>
          <w:b w:val="0"/>
          <w:bCs w:val="0"/>
          <w:color w:val="auto"/>
          <w:sz w:val="32"/>
          <w:szCs w:val="32"/>
        </w:rPr>
        <w:t>（项）：指用于在职职工单位缴纳的医疗保险。</w:t>
      </w:r>
    </w:p>
    <w:p w14:paraId="32C78A64">
      <w:pPr>
        <w:pageBreakBefore w:val="0"/>
        <w:kinsoku/>
        <w:wordWrap/>
        <w:overflowPunct/>
        <w:topLinePunct w:val="0"/>
        <w:bidi w:val="0"/>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lang w:val="en-US" w:eastAsia="zh-CN"/>
        </w:rPr>
        <w:t>.医疗卫生与计划生育（类）行政事业单位医疗（款）行政单位医疗（项）</w:t>
      </w:r>
      <w:r>
        <w:rPr>
          <w:rFonts w:hint="eastAsia" w:ascii="仿宋_GB2312" w:hAnsi="仿宋_GB2312" w:cs="仿宋_GB2312"/>
          <w:color w:val="auto"/>
          <w:sz w:val="32"/>
          <w:szCs w:val="32"/>
          <w:lang w:val="en-US" w:eastAsia="zh-CN"/>
        </w:rPr>
        <w:t>：指用于在职职工及退休人员单位缴纳的医疗补助。</w:t>
      </w:r>
    </w:p>
    <w:p w14:paraId="493DE49F">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12</w:t>
      </w:r>
      <w:r>
        <w:rPr>
          <w:rFonts w:hint="eastAsia" w:ascii="仿宋_GB2312" w:hAnsi="仿宋_GB2312" w:eastAsia="仿宋_GB2312" w:cs="仿宋_GB2312"/>
          <w:color w:val="auto"/>
          <w:sz w:val="32"/>
          <w:szCs w:val="32"/>
        </w:rPr>
        <w:t>.住房保障（类）</w:t>
      </w:r>
      <w:r>
        <w:rPr>
          <w:rFonts w:hint="eastAsia" w:ascii="仿宋_GB2312" w:hAnsi="仿宋_GB2312" w:cs="仿宋_GB2312"/>
          <w:color w:val="auto"/>
          <w:sz w:val="32"/>
          <w:szCs w:val="32"/>
          <w:lang w:eastAsia="zh-CN"/>
        </w:rPr>
        <w:t>住房改革支出</w:t>
      </w:r>
      <w:r>
        <w:rPr>
          <w:rFonts w:hint="eastAsia" w:ascii="仿宋_GB2312" w:hAnsi="仿宋_GB2312" w:eastAsia="仿宋_GB2312" w:cs="仿宋_GB2312"/>
          <w:color w:val="auto"/>
          <w:sz w:val="32"/>
          <w:szCs w:val="32"/>
        </w:rPr>
        <w:t>（款）</w:t>
      </w:r>
      <w:r>
        <w:rPr>
          <w:rFonts w:hint="eastAsia" w:ascii="仿宋_GB2312" w:hAnsi="仿宋_GB2312" w:cs="仿宋_GB2312"/>
          <w:color w:val="auto"/>
          <w:sz w:val="32"/>
          <w:szCs w:val="32"/>
          <w:lang w:eastAsia="zh-CN"/>
        </w:rPr>
        <w:t>住房公积金</w:t>
      </w:r>
      <w:r>
        <w:rPr>
          <w:rFonts w:hint="eastAsia" w:ascii="仿宋_GB2312" w:hAnsi="仿宋_GB2312" w:eastAsia="仿宋_GB2312" w:cs="仿宋_GB2312"/>
          <w:color w:val="auto"/>
          <w:sz w:val="32"/>
          <w:szCs w:val="32"/>
        </w:rPr>
        <w:t>（项）：指用于在职职工单位缴纳的住房公积金。</w:t>
      </w:r>
    </w:p>
    <w:p w14:paraId="5D055D22">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13</w:t>
      </w:r>
      <w:r>
        <w:rPr>
          <w:rFonts w:hint="eastAsia" w:ascii="仿宋_GB2312" w:hAnsi="仿宋_GB2312" w:eastAsia="仿宋_GB2312" w:cs="仿宋_GB2312"/>
          <w:color w:val="auto"/>
          <w:sz w:val="32"/>
          <w:szCs w:val="32"/>
        </w:rPr>
        <w:t>.基本支出：指为保障机构正常运转、完成日常工作任务而发生的人员</w:t>
      </w:r>
      <w:r>
        <w:rPr>
          <w:rFonts w:hint="eastAsia" w:ascii="仿宋_GB2312" w:hAnsi="仿宋_GB2312" w:cs="仿宋_GB2312"/>
          <w:color w:val="auto"/>
          <w:sz w:val="32"/>
          <w:szCs w:val="32"/>
          <w:lang w:val="en-US" w:eastAsia="zh-CN"/>
        </w:rPr>
        <w:t>经费</w:t>
      </w:r>
      <w:r>
        <w:rPr>
          <w:rFonts w:hint="eastAsia" w:ascii="仿宋_GB2312" w:hAnsi="仿宋_GB2312" w:eastAsia="仿宋_GB2312" w:cs="仿宋_GB2312"/>
          <w:color w:val="auto"/>
          <w:sz w:val="32"/>
          <w:szCs w:val="32"/>
        </w:rPr>
        <w:t>支出和公用</w:t>
      </w:r>
      <w:r>
        <w:rPr>
          <w:rFonts w:hint="eastAsia" w:ascii="仿宋_GB2312" w:hAnsi="仿宋_GB2312" w:cs="仿宋_GB2312"/>
          <w:color w:val="auto"/>
          <w:sz w:val="32"/>
          <w:szCs w:val="32"/>
          <w:lang w:val="en-US" w:eastAsia="zh-CN"/>
        </w:rPr>
        <w:t>经费</w:t>
      </w:r>
      <w:r>
        <w:rPr>
          <w:rFonts w:hint="eastAsia" w:ascii="仿宋_GB2312" w:hAnsi="仿宋_GB2312" w:eastAsia="仿宋_GB2312" w:cs="仿宋_GB2312"/>
          <w:color w:val="auto"/>
          <w:sz w:val="32"/>
          <w:szCs w:val="32"/>
        </w:rPr>
        <w:t>支出。</w:t>
      </w:r>
    </w:p>
    <w:p w14:paraId="0F1475EB">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cs="仿宋_GB2312"/>
          <w:color w:val="auto"/>
          <w:sz w:val="32"/>
          <w:szCs w:val="32"/>
          <w:lang w:val="en-US" w:eastAsia="zh-CN"/>
        </w:rPr>
        <w:t>14</w:t>
      </w:r>
      <w:r>
        <w:rPr>
          <w:rFonts w:hint="eastAsia" w:ascii="仿宋_GB2312" w:hAnsi="仿宋_GB2312" w:eastAsia="仿宋_GB2312" w:cs="仿宋_GB2312"/>
          <w:color w:val="auto"/>
          <w:sz w:val="32"/>
          <w:szCs w:val="32"/>
        </w:rPr>
        <w:t>.项目支出：指在基本支出之外为完成</w:t>
      </w:r>
      <w:r>
        <w:rPr>
          <w:rFonts w:hint="eastAsia" w:ascii="仿宋_GB2312" w:hAnsi="仿宋_GB2312" w:cs="仿宋_GB2312"/>
          <w:color w:val="auto"/>
          <w:sz w:val="32"/>
          <w:szCs w:val="32"/>
          <w:lang w:eastAsia="zh-CN"/>
        </w:rPr>
        <w:t>检察</w:t>
      </w:r>
      <w:r>
        <w:rPr>
          <w:rFonts w:hint="eastAsia" w:ascii="仿宋_GB2312" w:hAnsi="仿宋_GB2312" w:eastAsia="仿宋_GB2312" w:cs="仿宋_GB2312"/>
          <w:color w:val="auto"/>
          <w:sz w:val="32"/>
          <w:szCs w:val="32"/>
        </w:rPr>
        <w:t>特定</w:t>
      </w:r>
      <w:r>
        <w:rPr>
          <w:rFonts w:hint="eastAsia" w:ascii="仿宋_GB2312" w:hAnsi="仿宋_GB2312" w:cs="仿宋_GB2312"/>
          <w:color w:val="auto"/>
          <w:sz w:val="32"/>
          <w:szCs w:val="32"/>
          <w:lang w:eastAsia="zh-CN"/>
        </w:rPr>
        <w:t>行政办案</w:t>
      </w:r>
      <w:r>
        <w:rPr>
          <w:rFonts w:hint="eastAsia" w:ascii="仿宋_GB2312" w:hAnsi="仿宋_GB2312" w:eastAsia="仿宋_GB2312" w:cs="仿宋_GB2312"/>
          <w:color w:val="auto"/>
          <w:sz w:val="32"/>
          <w:szCs w:val="32"/>
        </w:rPr>
        <w:t>任务和</w:t>
      </w:r>
      <w:r>
        <w:rPr>
          <w:rFonts w:hint="eastAsia" w:ascii="仿宋_GB2312" w:hAnsi="仿宋_GB2312" w:cs="仿宋_GB2312"/>
          <w:color w:val="auto"/>
          <w:sz w:val="32"/>
          <w:szCs w:val="32"/>
          <w:lang w:eastAsia="zh-CN"/>
        </w:rPr>
        <w:t>检察</w:t>
      </w:r>
      <w:r>
        <w:rPr>
          <w:rFonts w:hint="eastAsia" w:ascii="仿宋_GB2312" w:hAnsi="仿宋_GB2312" w:eastAsia="仿宋_GB2312" w:cs="仿宋_GB2312"/>
          <w:color w:val="auto"/>
          <w:sz w:val="32"/>
          <w:szCs w:val="32"/>
        </w:rPr>
        <w:t>事业发展目标所发生的</w:t>
      </w:r>
      <w:r>
        <w:rPr>
          <w:rFonts w:hint="eastAsia" w:ascii="仿宋_GB2312" w:hAnsi="仿宋_GB2312" w:cs="仿宋_GB2312"/>
          <w:color w:val="auto"/>
          <w:sz w:val="32"/>
          <w:szCs w:val="32"/>
          <w:lang w:val="en-US" w:eastAsia="zh-CN"/>
        </w:rPr>
        <w:t>经费</w:t>
      </w:r>
      <w:r>
        <w:rPr>
          <w:rFonts w:hint="eastAsia" w:ascii="仿宋_GB2312" w:hAnsi="仿宋_GB2312" w:eastAsia="仿宋_GB2312" w:cs="仿宋_GB2312"/>
          <w:color w:val="auto"/>
          <w:sz w:val="32"/>
          <w:szCs w:val="32"/>
        </w:rPr>
        <w:t xml:space="preserve">支出。 </w:t>
      </w:r>
    </w:p>
    <w:p w14:paraId="6B24D19A">
      <w:pPr>
        <w:pStyle w:val="21"/>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57EBB2A">
      <w:pPr>
        <w:pageBreakBefore w:val="0"/>
        <w:kinsoku/>
        <w:wordWrap/>
        <w:overflowPunct/>
        <w:topLinePunct w:val="0"/>
        <w:bidi w:val="0"/>
        <w:spacing w:line="560" w:lineRule="exact"/>
        <w:ind w:firstLine="640" w:firstLineChars="200"/>
        <w:jc w:val="center"/>
        <w:textAlignment w:val="auto"/>
        <w:rPr>
          <w:rStyle w:val="18"/>
          <w:rFonts w:ascii="黑体" w:hAnsi="黑体" w:eastAsia="黑体"/>
          <w:b w:val="0"/>
        </w:rPr>
      </w:pPr>
      <w:r>
        <w:rPr>
          <w:rFonts w:hint="eastAsia" w:ascii="仿宋_GB2312" w:hAnsi="仿宋_GB2312" w:eastAsia="仿宋_GB2312" w:cs="仿宋_GB2312"/>
          <w:color w:val="auto"/>
          <w:sz w:val="32"/>
          <w:szCs w:val="32"/>
          <w:lang w:val="en-US" w:eastAsia="zh-CN"/>
        </w:rPr>
        <w:t>1</w:t>
      </w:r>
      <w:r>
        <w:rPr>
          <w:rFonts w:hint="eastAsia" w:ascii="仿宋_GB2312" w:hAnsi="仿宋_GB2312" w:cs="仿宋_GB2312"/>
          <w:color w:val="auto"/>
          <w:sz w:val="32"/>
          <w:szCs w:val="32"/>
          <w:lang w:val="en-US" w:eastAsia="zh-CN"/>
        </w:rPr>
        <w:t>6</w:t>
      </w:r>
      <w:r>
        <w:rPr>
          <w:rFonts w:hint="eastAsia" w:ascii="仿宋_GB2312" w:hAnsi="仿宋_GB2312" w:eastAsia="仿宋_GB2312" w:cs="仿宋_GB2312"/>
          <w:color w:val="auto"/>
          <w:sz w:val="32"/>
          <w:szCs w:val="32"/>
        </w:rPr>
        <w:t>.机关运行经费：为保障行政单位（含参照公务员法管理的事业单位）运行用于购买货物和服务的各项资金，包括</w:t>
      </w:r>
      <w:r>
        <w:rPr>
          <w:rFonts w:hint="eastAsia" w:ascii="仿宋_GB2312" w:hAnsi="仿宋_GB2312" w:eastAsia="仿宋_GB2312" w:cs="仿宋_GB2312"/>
          <w:color w:val="000000"/>
          <w:szCs w:val="32"/>
        </w:rPr>
        <w:t>电费、物业管理费、工会经费、其他交通费</w:t>
      </w:r>
      <w:r>
        <w:rPr>
          <w:rFonts w:hint="eastAsia" w:ascii="仿宋_GB2312" w:hAnsi="仿宋_GB2312" w:cs="仿宋_GB2312"/>
          <w:color w:val="000000"/>
          <w:szCs w:val="32"/>
          <w:lang w:eastAsia="zh-CN"/>
        </w:rPr>
        <w:t>用</w:t>
      </w:r>
      <w:r>
        <w:rPr>
          <w:rFonts w:hint="eastAsia" w:ascii="仿宋_GB2312" w:hAnsi="仿宋_GB2312" w:eastAsia="仿宋_GB2312" w:cs="仿宋_GB2312"/>
          <w:color w:val="000000"/>
          <w:szCs w:val="32"/>
        </w:rPr>
        <w:t>等。</w:t>
      </w:r>
      <w:r>
        <w:rPr>
          <w:rFonts w:ascii="宋体"/>
          <w:b/>
          <w:color w:val="000000"/>
          <w:sz w:val="44"/>
          <w:szCs w:val="44"/>
        </w:rPr>
        <w:br w:type="page"/>
      </w:r>
      <w:bookmarkStart w:id="55" w:name="_Toc17220"/>
      <w:bookmarkStart w:id="56" w:name="_Toc15396614"/>
      <w:r>
        <w:rPr>
          <w:rFonts w:hint="eastAsia" w:ascii="黑体" w:hAnsi="黑体" w:eastAsia="黑体"/>
          <w:color w:val="000000"/>
          <w:sz w:val="44"/>
          <w:szCs w:val="44"/>
        </w:rPr>
        <w:t>第</w:t>
      </w:r>
      <w:r>
        <w:rPr>
          <w:rStyle w:val="18"/>
          <w:rFonts w:hint="eastAsia" w:ascii="黑体" w:hAnsi="黑体" w:eastAsia="黑体"/>
          <w:b w:val="0"/>
        </w:rPr>
        <w:t>四部分</w:t>
      </w:r>
      <w:r>
        <w:rPr>
          <w:rStyle w:val="18"/>
          <w:rFonts w:ascii="黑体" w:hAnsi="黑体" w:eastAsia="黑体"/>
          <w:b w:val="0"/>
        </w:rPr>
        <w:t xml:space="preserve"> </w:t>
      </w:r>
      <w:r>
        <w:rPr>
          <w:rStyle w:val="18"/>
          <w:rFonts w:hint="eastAsia" w:ascii="黑体" w:hAnsi="黑体" w:eastAsia="黑体"/>
          <w:b w:val="0"/>
        </w:rPr>
        <w:t>附件</w:t>
      </w:r>
      <w:bookmarkEnd w:id="55"/>
      <w:bookmarkEnd w:id="56"/>
    </w:p>
    <w:p w14:paraId="00DE1F47">
      <w:pPr>
        <w:keepNext w:val="0"/>
        <w:keepLines w:val="0"/>
        <w:pageBreakBefore w:val="0"/>
        <w:kinsoku/>
        <w:wordWrap/>
        <w:overflowPunct/>
        <w:topLinePunct w:val="0"/>
        <w:autoSpaceDE/>
        <w:autoSpaceDN/>
        <w:bidi w:val="0"/>
        <w:spacing w:line="560" w:lineRule="exact"/>
        <w:jc w:val="left"/>
        <w:textAlignment w:val="auto"/>
        <w:outlineLvl w:val="9"/>
        <w:rPr>
          <w:rFonts w:hint="eastAsia" w:ascii="方正小标宋简体" w:hAnsi="方正小标宋简体" w:eastAsia="黑体" w:cs="方正小标宋简体"/>
          <w:color w:val="auto"/>
          <w:sz w:val="44"/>
          <w:szCs w:val="44"/>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p>
    <w:p w14:paraId="0AE5FBBB">
      <w:pPr>
        <w:keepNext w:val="0"/>
        <w:keepLines w:val="0"/>
        <w:pageBreakBefore w:val="0"/>
        <w:widowControl w:val="0"/>
        <w:suppressLineNumbers w:val="0"/>
        <w:kinsoku/>
        <w:wordWrap/>
        <w:overflowPunct/>
        <w:topLinePunct w:val="0"/>
        <w:autoSpaceDE/>
        <w:autoSpaceDN/>
        <w:bidi w:val="0"/>
        <w:spacing w:before="0" w:beforeAutospacing="0" w:afterAutospacing="0" w:line="560" w:lineRule="exact"/>
        <w:ind w:left="0" w:leftChars="0" w:right="0"/>
        <w:jc w:val="center"/>
        <w:textAlignment w:val="auto"/>
        <w:rPr>
          <w:rFonts w:hint="eastAsia" w:ascii="方正小标宋简体" w:hAnsi="方正小标宋简体" w:eastAsia="方正小标宋简体" w:cs="方正小标宋简体"/>
          <w:color w:val="000000"/>
          <w:kern w:val="0"/>
          <w:sz w:val="40"/>
          <w:szCs w:val="40"/>
          <w:lang w:val="en-US" w:eastAsia="zh-CN" w:bidi="ar"/>
        </w:rPr>
      </w:pPr>
      <w:r>
        <w:rPr>
          <w:rFonts w:hint="eastAsia" w:ascii="方正小标宋简体" w:hAnsi="方正小标宋简体" w:eastAsia="方正小标宋简体" w:cs="方正小标宋简体"/>
          <w:color w:val="000000"/>
          <w:kern w:val="0"/>
          <w:sz w:val="40"/>
          <w:szCs w:val="40"/>
          <w:lang w:val="en-US" w:eastAsia="zh-CN" w:bidi="ar"/>
        </w:rPr>
        <w:t>荣县人民检察院</w:t>
      </w:r>
    </w:p>
    <w:p w14:paraId="678B802C">
      <w:pPr>
        <w:keepNext w:val="0"/>
        <w:keepLines w:val="0"/>
        <w:pageBreakBefore w:val="0"/>
        <w:widowControl w:val="0"/>
        <w:suppressLineNumbers w:val="0"/>
        <w:kinsoku/>
        <w:wordWrap/>
        <w:overflowPunct/>
        <w:topLinePunct w:val="0"/>
        <w:autoSpaceDE/>
        <w:autoSpaceDN/>
        <w:bidi w:val="0"/>
        <w:spacing w:before="0" w:beforeAutospacing="0" w:afterAutospacing="0" w:line="560" w:lineRule="exact"/>
        <w:ind w:left="0" w:leftChars="0" w:right="0"/>
        <w:jc w:val="center"/>
        <w:textAlignment w:val="auto"/>
        <w:rPr>
          <w:rFonts w:hint="eastAsia" w:ascii="方正小标宋简体" w:hAnsi="方正小标宋简体" w:eastAsia="方正小标宋简体" w:cs="方正小标宋简体"/>
          <w:color w:val="000000"/>
          <w:kern w:val="0"/>
          <w:sz w:val="40"/>
          <w:szCs w:val="40"/>
          <w:lang w:val="en-US" w:eastAsia="zh-CN" w:bidi="ar"/>
        </w:rPr>
      </w:pPr>
      <w:r>
        <w:rPr>
          <w:rFonts w:hint="eastAsia" w:ascii="方正小标宋简体" w:hAnsi="方正小标宋简体" w:eastAsia="方正小标宋简体" w:cs="方正小标宋简体"/>
          <w:color w:val="000000"/>
          <w:kern w:val="0"/>
          <w:sz w:val="40"/>
          <w:szCs w:val="40"/>
          <w:lang w:val="en-US" w:eastAsia="zh-CN" w:bidi="ar"/>
        </w:rPr>
        <w:t>2023年</w:t>
      </w:r>
      <w:r>
        <w:rPr>
          <w:rFonts w:hint="eastAsia" w:ascii="方正小标宋简体" w:hAnsi="方正小标宋简体" w:eastAsia="方正小标宋简体" w:cs="方正小标宋简体"/>
          <w:color w:val="000000"/>
          <w:kern w:val="0"/>
          <w:sz w:val="40"/>
          <w:szCs w:val="40"/>
          <w:lang w:eastAsia="zh-CN" w:bidi="ar"/>
        </w:rPr>
        <w:t>整体支出绩效</w:t>
      </w:r>
      <w:r>
        <w:rPr>
          <w:rFonts w:hint="eastAsia" w:ascii="方正小标宋简体" w:hAnsi="方正小标宋简体" w:eastAsia="方正小标宋简体" w:cs="方正小标宋简体"/>
          <w:color w:val="000000"/>
          <w:kern w:val="0"/>
          <w:sz w:val="40"/>
          <w:szCs w:val="40"/>
          <w:lang w:val="en-US" w:eastAsia="zh-CN" w:bidi="ar"/>
        </w:rPr>
        <w:t>自评报告</w:t>
      </w:r>
    </w:p>
    <w:p w14:paraId="22DFDFA4">
      <w:pPr>
        <w:pStyle w:val="2"/>
        <w:rPr>
          <w:lang w:val="en-US"/>
        </w:rPr>
      </w:pPr>
    </w:p>
    <w:p w14:paraId="336DBBB1">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rFonts w:hint="default" w:ascii="Times New Roman" w:hAnsi="Times New Roman" w:eastAsia="黑体" w:cs="Times New Roman"/>
          <w:color w:val="000000"/>
          <w:kern w:val="0"/>
          <w:sz w:val="32"/>
          <w:szCs w:val="32"/>
          <w:highlight w:val="none"/>
          <w:shd w:val="clear" w:color="auto" w:fill="FFFFFF"/>
          <w:lang w:val="zh-CN"/>
        </w:rPr>
      </w:pPr>
      <w:r>
        <w:rPr>
          <w:rFonts w:hint="default" w:ascii="Times New Roman" w:hAnsi="Times New Roman" w:eastAsia="黑体" w:cs="Times New Roman"/>
          <w:color w:val="000000"/>
          <w:kern w:val="0"/>
          <w:sz w:val="32"/>
          <w:szCs w:val="32"/>
          <w:highlight w:val="none"/>
          <w:shd w:val="clear" w:color="auto" w:fill="FFFFFF"/>
          <w:lang w:val="en-US" w:eastAsia="zh-CN"/>
        </w:rPr>
        <w:t>一、</w:t>
      </w:r>
      <w:r>
        <w:rPr>
          <w:rFonts w:hint="default" w:ascii="Times New Roman" w:hAnsi="Times New Roman" w:eastAsia="黑体" w:cs="Times New Roman"/>
          <w:color w:val="000000"/>
          <w:kern w:val="0"/>
          <w:sz w:val="32"/>
          <w:szCs w:val="32"/>
          <w:highlight w:val="none"/>
          <w:shd w:val="clear" w:color="auto" w:fill="FFFFFF"/>
          <w:lang w:val="zh-CN"/>
        </w:rPr>
        <w:t>部门基本情况</w:t>
      </w:r>
    </w:p>
    <w:p w14:paraId="3526D332">
      <w:pPr>
        <w:keepNext w:val="0"/>
        <w:keepLines w:val="0"/>
        <w:pageBreakBefore w:val="0"/>
        <w:widowControl/>
        <w:kinsoku/>
        <w:wordWrap/>
        <w:overflowPunct/>
        <w:topLinePunct w:val="0"/>
        <w:autoSpaceDE/>
        <w:autoSpaceDN/>
        <w:bidi w:val="0"/>
        <w:adjustRightInd w:val="0"/>
        <w:snapToGrid w:val="0"/>
        <w:spacing w:line="560" w:lineRule="exact"/>
        <w:ind w:left="0" w:leftChars="0" w:firstLine="643" w:firstLineChars="200"/>
        <w:contextualSpacing/>
        <w:jc w:val="both"/>
        <w:textAlignment w:val="auto"/>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（一）机构组成</w:t>
      </w:r>
    </w:p>
    <w:p w14:paraId="5DE39C19">
      <w:pPr>
        <w:pStyle w:val="12"/>
        <w:keepNext w:val="0"/>
        <w:keepLines w:val="0"/>
        <w:pageBreakBefore w:val="0"/>
        <w:kinsoku/>
        <w:wordWrap/>
        <w:overflowPunct/>
        <w:topLinePunct w:val="0"/>
        <w:autoSpaceDE/>
        <w:autoSpaceDN/>
        <w:bidi w:val="0"/>
        <w:spacing w:after="0" w:line="560" w:lineRule="exact"/>
        <w:ind w:left="0" w:leftChars="0" w:firstLine="640" w:firstLineChars="200"/>
        <w:textAlignment w:val="auto"/>
        <w:rPr>
          <w:rFonts w:hint="default" w:eastAsia="仿宋_GB2312"/>
          <w:lang w:val="en-US" w:eastAsia="zh-CN"/>
        </w:rPr>
      </w:pPr>
      <w:r>
        <w:rPr>
          <w:rFonts w:hint="eastAsia"/>
          <w:lang w:val="en-US" w:eastAsia="zh-CN"/>
        </w:rPr>
        <w:t>自2019年内设机构改革后，我院共设办公室、政治部（下设司法警察大队）、第一检察部、第二检察部、第三检察部、第四检察部、第五检察部、综合业务部共8个职能业务部门。</w:t>
      </w:r>
    </w:p>
    <w:p w14:paraId="3CC1882B">
      <w:pPr>
        <w:keepNext w:val="0"/>
        <w:keepLines w:val="0"/>
        <w:pageBreakBefore w:val="0"/>
        <w:widowControl/>
        <w:kinsoku/>
        <w:wordWrap/>
        <w:overflowPunct/>
        <w:topLinePunct w:val="0"/>
        <w:autoSpaceDE/>
        <w:autoSpaceDN/>
        <w:bidi w:val="0"/>
        <w:adjustRightInd w:val="0"/>
        <w:snapToGrid w:val="0"/>
        <w:spacing w:line="560" w:lineRule="exact"/>
        <w:ind w:left="0" w:leftChars="0" w:firstLine="643" w:firstLineChars="200"/>
        <w:contextualSpacing/>
        <w:jc w:val="both"/>
        <w:textAlignment w:val="auto"/>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（二）机构职能和人员概况</w:t>
      </w:r>
    </w:p>
    <w:p w14:paraId="11ACCF55">
      <w:pPr>
        <w:keepNext w:val="0"/>
        <w:keepLines w:val="0"/>
        <w:pageBreakBefore w:val="0"/>
        <w:kinsoku/>
        <w:wordWrap/>
        <w:overflowPunct/>
        <w:topLinePunct w:val="0"/>
        <w:autoSpaceDE/>
        <w:autoSpaceDN/>
        <w:bidi w:val="0"/>
        <w:snapToGrid w:val="0"/>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荣县人民检察院是国家的法律监督机关，对县人民代表大会及其常务委员会负责并报告工作。主要任务是通过行使检察权，追诉犯罪，维护国家安全和社会秩序，维护个人和组织的合法权益，维护国家利益和社会公共利益，保障法律正确实施，维护社会公平正义，维护国家法制统一、尊严和权威，保障中国特色社会主义建设的顺利进行。</w:t>
      </w:r>
    </w:p>
    <w:p w14:paraId="4632CC82">
      <w:pPr>
        <w:keepNext w:val="0"/>
        <w:keepLines w:val="0"/>
        <w:pageBreakBefore w:val="0"/>
        <w:kinsoku/>
        <w:wordWrap/>
        <w:overflowPunct/>
        <w:topLinePunct w:val="0"/>
        <w:autoSpaceDE/>
        <w:autoSpaceDN/>
        <w:bidi w:val="0"/>
        <w:snapToGrid w:val="0"/>
        <w:spacing w:line="560" w:lineRule="exact"/>
        <w:ind w:left="0" w:leftChars="0" w:firstLine="640" w:firstLineChars="200"/>
        <w:textAlignment w:val="auto"/>
        <w:rPr>
          <w:rFonts w:hint="default" w:ascii="Times New Roman" w:hAnsi="Times New Roman" w:eastAsia="仿宋_GB2312" w:cs="Times New Roman"/>
          <w:kern w:val="2"/>
          <w:sz w:val="32"/>
          <w:szCs w:val="24"/>
          <w:lang w:val="zh-CN" w:eastAsia="zh-CN" w:bidi="ar-SA"/>
        </w:rPr>
      </w:pPr>
      <w:r>
        <w:rPr>
          <w:rFonts w:hint="eastAsia" w:ascii="Times New Roman" w:hAnsi="Times New Roman" w:eastAsia="仿宋_GB2312" w:cs="Times New Roman"/>
          <w:kern w:val="2"/>
          <w:sz w:val="32"/>
          <w:szCs w:val="24"/>
          <w:lang w:val="en-US" w:eastAsia="zh-CN" w:bidi="ar-SA"/>
        </w:rPr>
        <w:t>我院2023年年末实有政法专项编制4</w:t>
      </w:r>
      <w:r>
        <w:rPr>
          <w:rFonts w:hint="eastAsia" w:ascii="Times New Roman" w:hAnsi="Times New Roman" w:cs="Times New Roman"/>
          <w:kern w:val="2"/>
          <w:sz w:val="32"/>
          <w:szCs w:val="24"/>
          <w:lang w:val="en-US" w:eastAsia="zh-CN" w:bidi="ar-SA"/>
        </w:rPr>
        <w:t>4</w:t>
      </w:r>
      <w:r>
        <w:rPr>
          <w:rFonts w:hint="eastAsia" w:ascii="Times New Roman" w:hAnsi="Times New Roman" w:eastAsia="仿宋_GB2312" w:cs="Times New Roman"/>
          <w:kern w:val="2"/>
          <w:sz w:val="32"/>
          <w:szCs w:val="24"/>
          <w:lang w:val="en-US" w:eastAsia="zh-CN" w:bidi="ar-SA"/>
        </w:rPr>
        <w:t>人，工勤编制2人，聘用制书记员1</w:t>
      </w:r>
      <w:r>
        <w:rPr>
          <w:rFonts w:hint="eastAsia" w:ascii="Times New Roman" w:hAnsi="Times New Roman" w:cs="Times New Roman"/>
          <w:kern w:val="2"/>
          <w:sz w:val="32"/>
          <w:szCs w:val="24"/>
          <w:lang w:val="en-US" w:eastAsia="zh-CN" w:bidi="ar-SA"/>
        </w:rPr>
        <w:t>8</w:t>
      </w:r>
      <w:r>
        <w:rPr>
          <w:rFonts w:hint="eastAsia" w:ascii="Times New Roman" w:hAnsi="Times New Roman" w:eastAsia="仿宋_GB2312" w:cs="Times New Roman"/>
          <w:kern w:val="2"/>
          <w:sz w:val="32"/>
          <w:szCs w:val="24"/>
          <w:lang w:val="en-US" w:eastAsia="zh-CN" w:bidi="ar-SA"/>
        </w:rPr>
        <w:t>人，退休人员32人，遗属</w:t>
      </w:r>
      <w:r>
        <w:rPr>
          <w:rFonts w:hint="eastAsia" w:cs="Times New Roman"/>
          <w:kern w:val="2"/>
          <w:sz w:val="32"/>
          <w:szCs w:val="24"/>
          <w:lang w:val="en-US" w:eastAsia="zh-CN" w:bidi="ar-SA"/>
        </w:rPr>
        <w:t>1</w:t>
      </w:r>
      <w:r>
        <w:rPr>
          <w:rFonts w:hint="eastAsia" w:ascii="Times New Roman" w:hAnsi="Times New Roman" w:eastAsia="仿宋_GB2312" w:cs="Times New Roman"/>
          <w:kern w:val="2"/>
          <w:sz w:val="32"/>
          <w:szCs w:val="24"/>
          <w:lang w:val="en-US" w:eastAsia="zh-CN" w:bidi="ar-SA"/>
        </w:rPr>
        <w:t>人。</w:t>
      </w:r>
    </w:p>
    <w:p w14:paraId="21F4C4E6">
      <w:pPr>
        <w:keepNext w:val="0"/>
        <w:keepLines w:val="0"/>
        <w:pageBreakBefore w:val="0"/>
        <w:widowControl/>
        <w:kinsoku/>
        <w:wordWrap/>
        <w:overflowPunct/>
        <w:topLinePunct w:val="0"/>
        <w:autoSpaceDE/>
        <w:autoSpaceDN/>
        <w:bidi w:val="0"/>
        <w:adjustRightInd w:val="0"/>
        <w:snapToGrid w:val="0"/>
        <w:spacing w:line="560" w:lineRule="exact"/>
        <w:ind w:left="0" w:leftChars="0" w:firstLine="643" w:firstLineChars="200"/>
        <w:contextualSpacing/>
        <w:jc w:val="both"/>
        <w:textAlignment w:val="auto"/>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（三）年度主要工作任务</w:t>
      </w:r>
    </w:p>
    <w:p w14:paraId="5CB9DF7E">
      <w:pPr>
        <w:pStyle w:val="6"/>
        <w:keepNext w:val="0"/>
        <w:keepLines w:val="0"/>
        <w:pageBreakBefore w:val="0"/>
        <w:kinsoku/>
        <w:wordWrap/>
        <w:overflowPunct/>
        <w:topLinePunct w:val="0"/>
        <w:autoSpaceDE/>
        <w:autoSpaceDN/>
        <w:bidi w:val="0"/>
        <w:spacing w:after="0" w:line="560" w:lineRule="exact"/>
        <w:ind w:left="0" w:leftChars="0"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主动融入大局，</w:t>
      </w:r>
      <w:r>
        <w:rPr>
          <w:rFonts w:hint="eastAsia" w:ascii="仿宋_GB2312" w:hAnsi="仿宋_GB2312" w:eastAsia="仿宋_GB2312" w:cs="仿宋_GB2312"/>
          <w:kern w:val="2"/>
          <w:sz w:val="32"/>
          <w:szCs w:val="32"/>
          <w:lang w:val="en-US" w:eastAsia="zh-CN" w:bidi="ar-SA"/>
        </w:rPr>
        <w:t>积极参与社会治理，在助力稳定发展中彰显检察担当</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坚持司法为民，促进理念方式变革，在增进民生福祉中践行检察责任；</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坚持公平正义，深耕监督主责主业，在履行新时代法律监督职能中强化检察作为；</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坚持强基固本，全面加强自身建设，在锻造忠诚过硬队伍中提升检察水平。</w:t>
      </w:r>
    </w:p>
    <w:p w14:paraId="711BB5D7">
      <w:pPr>
        <w:keepNext w:val="0"/>
        <w:keepLines w:val="0"/>
        <w:pageBreakBefore w:val="0"/>
        <w:widowControl/>
        <w:kinsoku/>
        <w:wordWrap/>
        <w:overflowPunct/>
        <w:topLinePunct w:val="0"/>
        <w:autoSpaceDE/>
        <w:autoSpaceDN/>
        <w:bidi w:val="0"/>
        <w:adjustRightInd w:val="0"/>
        <w:snapToGrid w:val="0"/>
        <w:spacing w:line="560" w:lineRule="exact"/>
        <w:ind w:left="0" w:leftChars="0" w:firstLine="643" w:firstLineChars="200"/>
        <w:contextualSpacing/>
        <w:jc w:val="both"/>
        <w:textAlignment w:val="auto"/>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（四）部门整体支出绩效目标</w:t>
      </w:r>
    </w:p>
    <w:p w14:paraId="3AD2ACF5">
      <w:pPr>
        <w:pStyle w:val="24"/>
        <w:keepNext w:val="0"/>
        <w:keepLines w:val="0"/>
        <w:pageBreakBefore w:val="0"/>
        <w:kinsoku/>
        <w:wordWrap/>
        <w:overflowPunct/>
        <w:topLinePunct w:val="0"/>
        <w:autoSpaceDE/>
        <w:autoSpaceDN/>
        <w:bidi w:val="0"/>
        <w:spacing w:after="0" w:line="560" w:lineRule="exact"/>
        <w:ind w:left="0" w:leftChars="0" w:firstLine="640" w:firstLineChars="200"/>
        <w:rPr>
          <w:rFonts w:hint="default"/>
          <w:lang w:val="zh-CN"/>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3</w:t>
      </w:r>
      <w:r>
        <w:rPr>
          <w:rFonts w:eastAsia="仿宋_GB2312"/>
          <w:sz w:val="32"/>
          <w:szCs w:val="32"/>
        </w:rPr>
        <w:t>年，荣县</w:t>
      </w:r>
      <w:r>
        <w:rPr>
          <w:rFonts w:hint="eastAsia" w:eastAsia="仿宋_GB2312"/>
          <w:sz w:val="32"/>
          <w:szCs w:val="32"/>
        </w:rPr>
        <w:t>人民检察院</w:t>
      </w:r>
      <w:r>
        <w:rPr>
          <w:rFonts w:eastAsia="仿宋_GB2312"/>
          <w:sz w:val="32"/>
          <w:szCs w:val="32"/>
        </w:rPr>
        <w:t>在县委和市检察院</w:t>
      </w:r>
      <w:r>
        <w:rPr>
          <w:rFonts w:hint="eastAsia" w:eastAsia="仿宋_GB2312"/>
          <w:sz w:val="32"/>
          <w:szCs w:val="32"/>
        </w:rPr>
        <w:t>的</w:t>
      </w:r>
      <w:r>
        <w:rPr>
          <w:rFonts w:eastAsia="仿宋_GB2312"/>
          <w:sz w:val="32"/>
          <w:szCs w:val="32"/>
        </w:rPr>
        <w:t>坚强领导下，在县人大及其常委会有力监督、县政府大力支持和县政协民主监督下，</w:t>
      </w:r>
      <w:r>
        <w:rPr>
          <w:rFonts w:hint="eastAsia" w:eastAsia="仿宋_GB2312"/>
          <w:sz w:val="32"/>
          <w:szCs w:val="32"/>
        </w:rPr>
        <w:t>坚持以习近平新时代中国特色社会主义思想为指导，深入践行习近平法治思想，全面</w:t>
      </w:r>
      <w:r>
        <w:rPr>
          <w:rFonts w:eastAsia="仿宋_GB2312"/>
          <w:sz w:val="32"/>
          <w:szCs w:val="32"/>
        </w:rPr>
        <w:t>贯彻党的</w:t>
      </w:r>
      <w:r>
        <w:rPr>
          <w:rFonts w:hint="eastAsia" w:eastAsia="仿宋_GB2312"/>
          <w:sz w:val="32"/>
          <w:szCs w:val="32"/>
        </w:rPr>
        <w:t>二十</w:t>
      </w:r>
      <w:r>
        <w:rPr>
          <w:rFonts w:eastAsia="仿宋_GB2312"/>
          <w:sz w:val="32"/>
          <w:szCs w:val="32"/>
        </w:rPr>
        <w:t>大精神，</w:t>
      </w:r>
      <w:r>
        <w:rPr>
          <w:rFonts w:hint="eastAsia" w:eastAsia="仿宋_GB2312"/>
          <w:sz w:val="32"/>
          <w:szCs w:val="32"/>
        </w:rPr>
        <w:t>认真</w:t>
      </w:r>
      <w:r>
        <w:rPr>
          <w:rFonts w:eastAsia="仿宋_GB2312"/>
          <w:sz w:val="32"/>
          <w:szCs w:val="32"/>
        </w:rPr>
        <w:t>落实</w:t>
      </w:r>
      <w:r>
        <w:rPr>
          <w:rFonts w:hint="eastAsia" w:eastAsia="仿宋_GB2312"/>
          <w:sz w:val="32"/>
          <w:szCs w:val="32"/>
        </w:rPr>
        <w:t>《中共中央关于加强新时代检察机关法律监督工作的意见》</w:t>
      </w:r>
      <w:r>
        <w:rPr>
          <w:rFonts w:eastAsia="仿宋_GB2312"/>
          <w:sz w:val="32"/>
          <w:szCs w:val="32"/>
        </w:rPr>
        <w:t>，</w:t>
      </w:r>
      <w:r>
        <w:rPr>
          <w:rFonts w:ascii="Times New Roman" w:hAnsi="Times New Roman" w:eastAsia="仿宋_GB2312" w:cs="Times New Roman"/>
          <w:sz w:val="32"/>
          <w:szCs w:val="32"/>
        </w:rPr>
        <w:t>聚焦县委</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124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发展思路</w:t>
      </w:r>
      <w:r>
        <w:rPr>
          <w:rFonts w:hint="eastAsia" w:ascii="Times New Roman" w:hAnsi="Times New Roman" w:eastAsia="仿宋_GB2312" w:cs="Times New Roman"/>
          <w:sz w:val="32"/>
          <w:szCs w:val="32"/>
        </w:rPr>
        <w:t>，</w:t>
      </w:r>
      <w:r>
        <w:rPr>
          <w:rFonts w:hint="eastAsia" w:eastAsia="仿宋_GB2312"/>
          <w:sz w:val="32"/>
          <w:szCs w:val="32"/>
        </w:rPr>
        <w:t>立足法律监督职能，</w:t>
      </w:r>
      <w:r>
        <w:rPr>
          <w:rFonts w:eastAsia="仿宋_GB2312"/>
          <w:sz w:val="32"/>
          <w:szCs w:val="32"/>
        </w:rPr>
        <w:t>依法能动</w:t>
      </w:r>
      <w:r>
        <w:rPr>
          <w:rFonts w:hint="eastAsia" w:eastAsia="仿宋_GB2312"/>
          <w:sz w:val="32"/>
          <w:szCs w:val="32"/>
        </w:rPr>
        <w:t>履职，维护公平正义，</w:t>
      </w:r>
      <w:r>
        <w:rPr>
          <w:rFonts w:eastAsia="仿宋_GB2312"/>
          <w:sz w:val="32"/>
          <w:szCs w:val="32"/>
        </w:rPr>
        <w:t>为全</w:t>
      </w:r>
      <w:r>
        <w:rPr>
          <w:rFonts w:hint="eastAsia" w:eastAsia="仿宋_GB2312"/>
          <w:sz w:val="32"/>
          <w:szCs w:val="32"/>
        </w:rPr>
        <w:t>县</w:t>
      </w:r>
      <w:r>
        <w:rPr>
          <w:rFonts w:eastAsia="仿宋_GB2312"/>
          <w:sz w:val="32"/>
          <w:szCs w:val="32"/>
        </w:rPr>
        <w:t>经济社会高质量发展提供有力司法保障。</w:t>
      </w:r>
    </w:p>
    <w:p w14:paraId="198F961D">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rFonts w:hint="default" w:ascii="Times New Roman" w:hAnsi="Times New Roman" w:eastAsia="黑体" w:cs="Times New Roman"/>
          <w:color w:val="000000"/>
          <w:kern w:val="0"/>
          <w:sz w:val="32"/>
          <w:szCs w:val="32"/>
          <w:highlight w:val="none"/>
          <w:shd w:val="clear" w:color="auto" w:fill="FFFFFF"/>
        </w:rPr>
      </w:pPr>
      <w:r>
        <w:rPr>
          <w:rFonts w:hint="default" w:ascii="Times New Roman" w:hAnsi="Times New Roman" w:eastAsia="黑体" w:cs="Times New Roman"/>
          <w:color w:val="000000"/>
          <w:kern w:val="0"/>
          <w:sz w:val="32"/>
          <w:szCs w:val="32"/>
          <w:highlight w:val="none"/>
          <w:shd w:val="clear" w:color="auto" w:fill="FFFFFF"/>
        </w:rPr>
        <w:t>二、</w:t>
      </w:r>
      <w:r>
        <w:rPr>
          <w:rFonts w:hint="default" w:ascii="Times New Roman" w:hAnsi="Times New Roman" w:eastAsia="黑体" w:cs="Times New Roman"/>
          <w:color w:val="000000"/>
          <w:kern w:val="0"/>
          <w:sz w:val="32"/>
          <w:szCs w:val="32"/>
          <w:highlight w:val="none"/>
          <w:shd w:val="clear" w:color="auto" w:fill="FFFFFF"/>
          <w:lang w:eastAsia="zh-CN"/>
        </w:rPr>
        <w:t>部门</w:t>
      </w:r>
      <w:r>
        <w:rPr>
          <w:rFonts w:hint="default" w:ascii="Times New Roman" w:hAnsi="Times New Roman" w:eastAsia="黑体" w:cs="Times New Roman"/>
          <w:color w:val="000000"/>
          <w:kern w:val="0"/>
          <w:sz w:val="32"/>
          <w:szCs w:val="32"/>
          <w:highlight w:val="none"/>
          <w:shd w:val="clear" w:color="auto" w:fill="FFFFFF"/>
        </w:rPr>
        <w:t>资金收支情况</w:t>
      </w:r>
    </w:p>
    <w:p w14:paraId="6E05CF07">
      <w:pPr>
        <w:keepNext w:val="0"/>
        <w:keepLines w:val="0"/>
        <w:pageBreakBefore w:val="0"/>
        <w:widowControl/>
        <w:kinsoku/>
        <w:wordWrap/>
        <w:overflowPunct/>
        <w:topLinePunct w:val="0"/>
        <w:autoSpaceDE/>
        <w:autoSpaceDN/>
        <w:bidi w:val="0"/>
        <w:adjustRightInd w:val="0"/>
        <w:snapToGrid w:val="0"/>
        <w:spacing w:line="560" w:lineRule="exact"/>
        <w:ind w:left="0" w:leftChars="0" w:firstLine="643" w:firstLineChars="200"/>
        <w:contextualSpacing/>
        <w:jc w:val="both"/>
        <w:textAlignment w:val="auto"/>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（一）部门总体收支情况</w:t>
      </w:r>
    </w:p>
    <w:p w14:paraId="72EFF97D">
      <w:pPr>
        <w:keepNext w:val="0"/>
        <w:keepLines w:val="0"/>
        <w:pageBreakBefore w:val="0"/>
        <w:widowControl/>
        <w:kinsoku/>
        <w:wordWrap/>
        <w:overflowPunct/>
        <w:topLinePunct w:val="0"/>
        <w:autoSpaceDE/>
        <w:autoSpaceDN/>
        <w:bidi w:val="0"/>
        <w:adjustRightInd w:val="0"/>
        <w:snapToGrid w:val="0"/>
        <w:spacing w:line="560" w:lineRule="exact"/>
        <w:ind w:left="0" w:leftChars="0" w:firstLine="643" w:firstLineChars="200"/>
        <w:contextualSpacing/>
        <w:jc w:val="left"/>
        <w:textAlignment w:val="auto"/>
        <w:rPr>
          <w:rFonts w:hint="eastAsia" w:ascii="Times New Roman" w:hAnsi="Times New Roman" w:eastAsia="仿宋_GB2312" w:cs="Times New Roman"/>
          <w:kern w:val="2"/>
          <w:sz w:val="32"/>
          <w:szCs w:val="24"/>
          <w:lang w:val="en-US" w:eastAsia="zh-CN" w:bidi="ar-SA"/>
        </w:rPr>
      </w:pPr>
      <w:r>
        <w:rPr>
          <w:rFonts w:hint="eastAsia" w:ascii="仿宋_GB2312" w:hAnsi="仿宋_GB2312" w:eastAsia="仿宋_GB2312" w:cs="仿宋_GB2312"/>
          <w:b/>
          <w:bCs/>
          <w:color w:val="000000"/>
          <w:kern w:val="0"/>
          <w:sz w:val="32"/>
          <w:szCs w:val="32"/>
          <w:highlight w:val="none"/>
          <w:shd w:val="clear" w:color="auto" w:fill="FFFFFF"/>
          <w:lang w:val="en-US" w:eastAsia="zh-CN"/>
        </w:rPr>
        <w:t>1.部门总体收入情况</w:t>
      </w:r>
      <w:r>
        <w:rPr>
          <w:rFonts w:hint="eastAsia" w:ascii="仿宋_GB2312" w:hAnsi="仿宋_GB2312" w:cs="仿宋_GB2312"/>
          <w:b/>
          <w:bCs/>
          <w:color w:val="000000"/>
          <w:kern w:val="0"/>
          <w:sz w:val="32"/>
          <w:szCs w:val="32"/>
          <w:highlight w:val="none"/>
          <w:shd w:val="clear" w:color="auto" w:fill="FFFFFF"/>
          <w:lang w:val="en-US" w:eastAsia="zh-CN"/>
        </w:rPr>
        <w:t>。</w:t>
      </w:r>
      <w:r>
        <w:rPr>
          <w:rFonts w:hint="eastAsia" w:ascii="Times New Roman" w:hAnsi="Times New Roman" w:eastAsia="仿宋_GB2312" w:cs="Times New Roman"/>
          <w:kern w:val="2"/>
          <w:sz w:val="32"/>
          <w:szCs w:val="24"/>
          <w:lang w:val="en-US" w:eastAsia="zh-CN" w:bidi="ar-SA"/>
        </w:rPr>
        <w:t>2023年一般公共预算财政拨款收入1282.03万元，其他收入570.11万元，其中公共安全支出收入1591.66万元，占总收入的85.94%，社会保障和就业支出收入114.82万元，占总收入的6.20%，卫生健康支出收入46.29万元，占总收入的2.50%，住房保障支出收入99.37万元，占总收入的5.36%.</w:t>
      </w:r>
    </w:p>
    <w:p w14:paraId="3CF324B4">
      <w:pPr>
        <w:keepNext w:val="0"/>
        <w:keepLines w:val="0"/>
        <w:pageBreakBefore w:val="0"/>
        <w:kinsoku/>
        <w:wordWrap/>
        <w:overflowPunct/>
        <w:topLinePunct w:val="0"/>
        <w:autoSpaceDE/>
        <w:autoSpaceDN/>
        <w:bidi w:val="0"/>
        <w:snapToGrid w:val="0"/>
        <w:spacing w:line="560" w:lineRule="exact"/>
        <w:ind w:left="0" w:leftChars="0" w:firstLine="643" w:firstLineChars="200"/>
        <w:rPr>
          <w:rFonts w:hint="eastAsia" w:ascii="Times New Roman" w:hAnsi="Times New Roman" w:eastAsia="仿宋_GB2312" w:cs="Times New Roman"/>
          <w:kern w:val="2"/>
          <w:sz w:val="32"/>
          <w:szCs w:val="24"/>
          <w:lang w:val="en-US" w:eastAsia="zh-CN" w:bidi="ar-SA"/>
        </w:rPr>
      </w:pPr>
      <w:r>
        <w:rPr>
          <w:rFonts w:hint="eastAsia" w:ascii="仿宋_GB2312" w:hAnsi="仿宋_GB2312" w:cs="仿宋_GB2312"/>
          <w:b/>
          <w:bCs/>
          <w:color w:val="000000"/>
          <w:kern w:val="0"/>
          <w:sz w:val="32"/>
          <w:szCs w:val="32"/>
          <w:highlight w:val="none"/>
          <w:shd w:val="clear" w:color="auto" w:fill="FFFFFF"/>
          <w:lang w:val="en-US" w:eastAsia="zh-CN"/>
        </w:rPr>
        <w:t>2.</w:t>
      </w:r>
      <w:r>
        <w:rPr>
          <w:rFonts w:hint="eastAsia" w:ascii="仿宋_GB2312" w:hAnsi="仿宋_GB2312" w:eastAsia="仿宋_GB2312" w:cs="仿宋_GB2312"/>
          <w:b/>
          <w:bCs/>
          <w:color w:val="000000"/>
          <w:kern w:val="0"/>
          <w:sz w:val="32"/>
          <w:szCs w:val="32"/>
          <w:highlight w:val="none"/>
          <w:shd w:val="clear" w:color="auto" w:fill="FFFFFF"/>
          <w:lang w:val="en-US" w:eastAsia="zh-CN"/>
        </w:rPr>
        <w:t>部门总体支出情况</w:t>
      </w:r>
      <w:r>
        <w:rPr>
          <w:rFonts w:hint="eastAsia" w:ascii="仿宋_GB2312" w:hAnsi="仿宋_GB2312" w:cs="仿宋_GB2312"/>
          <w:b/>
          <w:bCs/>
          <w:color w:val="000000"/>
          <w:kern w:val="0"/>
          <w:sz w:val="32"/>
          <w:szCs w:val="32"/>
          <w:highlight w:val="none"/>
          <w:shd w:val="clear" w:color="auto" w:fill="FFFFFF"/>
          <w:lang w:val="en-US" w:eastAsia="zh-CN"/>
        </w:rPr>
        <w:t>。</w:t>
      </w:r>
      <w:r>
        <w:rPr>
          <w:rFonts w:hint="eastAsia" w:ascii="Times New Roman" w:hAnsi="Times New Roman" w:eastAsia="仿宋_GB2312" w:cs="Times New Roman"/>
          <w:kern w:val="2"/>
          <w:sz w:val="32"/>
          <w:szCs w:val="24"/>
          <w:lang w:val="en-US" w:eastAsia="zh-CN" w:bidi="ar-SA"/>
        </w:rPr>
        <w:t>2023年总支出1840.73万元，其中公共安全支出1580.26万元，占总支出的85.85%，社会保障和就业支出114.82万元，占总支出的6.24%，卫生健康支出46.29万元，占总支出的2.51%，住房保障支出99.37万元，占总支出的5.40%</w:t>
      </w:r>
      <w:r>
        <w:rPr>
          <w:rFonts w:hint="eastAsia" w:cs="Times New Roman"/>
          <w:kern w:val="2"/>
          <w:sz w:val="32"/>
          <w:szCs w:val="24"/>
          <w:lang w:val="en-US" w:eastAsia="zh-CN" w:bidi="ar-SA"/>
        </w:rPr>
        <w:t>。</w:t>
      </w:r>
    </w:p>
    <w:p w14:paraId="251DB930">
      <w:pPr>
        <w:keepNext w:val="0"/>
        <w:keepLines w:val="0"/>
        <w:pageBreakBefore w:val="0"/>
        <w:widowControl/>
        <w:kinsoku/>
        <w:wordWrap/>
        <w:overflowPunct/>
        <w:topLinePunct w:val="0"/>
        <w:autoSpaceDE/>
        <w:autoSpaceDN/>
        <w:bidi w:val="0"/>
        <w:adjustRightInd w:val="0"/>
        <w:snapToGrid w:val="0"/>
        <w:spacing w:line="560" w:lineRule="exact"/>
        <w:ind w:left="0" w:leftChars="0" w:firstLine="643" w:firstLineChars="200"/>
        <w:contextualSpacing/>
        <w:jc w:val="both"/>
        <w:textAlignment w:val="auto"/>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（二）部门财政拨款收支情况</w:t>
      </w:r>
    </w:p>
    <w:p w14:paraId="6E33746F">
      <w:pPr>
        <w:keepNext w:val="0"/>
        <w:keepLines w:val="0"/>
        <w:pageBreakBefore w:val="0"/>
        <w:widowControl/>
        <w:kinsoku/>
        <w:wordWrap/>
        <w:overflowPunct/>
        <w:topLinePunct w:val="0"/>
        <w:autoSpaceDE/>
        <w:autoSpaceDN/>
        <w:bidi w:val="0"/>
        <w:adjustRightInd w:val="0"/>
        <w:snapToGrid w:val="0"/>
        <w:spacing w:line="560" w:lineRule="exact"/>
        <w:ind w:left="0" w:leftChars="0" w:firstLine="643" w:firstLineChars="200"/>
        <w:contextualSpacing/>
        <w:jc w:val="both"/>
        <w:textAlignment w:val="auto"/>
        <w:rPr>
          <w:rFonts w:hint="eastAsia" w:ascii="Times New Roman" w:hAnsi="Times New Roman" w:eastAsia="仿宋_GB2312" w:cs="Times New Roman"/>
          <w:kern w:val="2"/>
          <w:sz w:val="32"/>
          <w:szCs w:val="24"/>
          <w:lang w:val="en-US" w:eastAsia="zh-CN" w:bidi="ar-SA"/>
        </w:rPr>
      </w:pPr>
      <w:r>
        <w:rPr>
          <w:rFonts w:hint="eastAsia" w:ascii="仿宋_GB2312" w:hAnsi="仿宋_GB2312" w:eastAsia="仿宋_GB2312" w:cs="仿宋_GB2312"/>
          <w:b/>
          <w:bCs/>
          <w:color w:val="000000"/>
          <w:kern w:val="0"/>
          <w:sz w:val="32"/>
          <w:szCs w:val="32"/>
          <w:highlight w:val="none"/>
          <w:shd w:val="clear" w:color="auto" w:fill="FFFFFF"/>
          <w:lang w:val="en-US" w:eastAsia="zh-CN"/>
        </w:rPr>
        <w:t>1.部门财政拨款收入情况</w:t>
      </w:r>
      <w:r>
        <w:rPr>
          <w:rFonts w:hint="eastAsia" w:ascii="仿宋_GB2312" w:hAnsi="仿宋_GB2312" w:cs="仿宋_GB2312"/>
          <w:b/>
          <w:bCs/>
          <w:color w:val="000000"/>
          <w:kern w:val="0"/>
          <w:sz w:val="32"/>
          <w:szCs w:val="32"/>
          <w:highlight w:val="none"/>
          <w:shd w:val="clear" w:color="auto" w:fill="FFFFFF"/>
          <w:lang w:val="en-US" w:eastAsia="zh-CN"/>
        </w:rPr>
        <w:t>。</w:t>
      </w:r>
      <w:r>
        <w:rPr>
          <w:rFonts w:hint="eastAsia" w:ascii="Times New Roman" w:hAnsi="Times New Roman" w:eastAsia="仿宋_GB2312" w:cs="Times New Roman"/>
          <w:kern w:val="2"/>
          <w:sz w:val="32"/>
          <w:szCs w:val="24"/>
          <w:lang w:val="en-US" w:eastAsia="zh-CN" w:bidi="ar-SA"/>
        </w:rPr>
        <w:t>2023年总收入1852.14万元，其中：一般公共预算财政拨款收入1282.03万元，非同级财政拨款收入570.11万元。</w:t>
      </w:r>
    </w:p>
    <w:p w14:paraId="3F15651F">
      <w:pPr>
        <w:keepNext w:val="0"/>
        <w:keepLines w:val="0"/>
        <w:pageBreakBefore w:val="0"/>
        <w:widowControl/>
        <w:kinsoku/>
        <w:wordWrap/>
        <w:overflowPunct/>
        <w:topLinePunct w:val="0"/>
        <w:autoSpaceDE/>
        <w:autoSpaceDN/>
        <w:bidi w:val="0"/>
        <w:adjustRightInd w:val="0"/>
        <w:snapToGrid w:val="0"/>
        <w:spacing w:line="560" w:lineRule="exact"/>
        <w:ind w:left="0" w:leftChars="0" w:firstLine="643" w:firstLineChars="200"/>
        <w:contextualSpacing/>
        <w:jc w:val="left"/>
        <w:textAlignment w:val="auto"/>
        <w:rPr>
          <w:rFonts w:hint="default" w:ascii="Times New Roman" w:hAnsi="Times New Roman" w:eastAsia="仿宋_GB2312" w:cs="Times New Roman"/>
          <w:kern w:val="2"/>
          <w:sz w:val="32"/>
          <w:szCs w:val="24"/>
          <w:lang w:val="en-US" w:eastAsia="zh-CN" w:bidi="ar-SA"/>
        </w:rPr>
      </w:pPr>
      <w:r>
        <w:rPr>
          <w:rFonts w:hint="eastAsia" w:ascii="仿宋_GB2312" w:hAnsi="仿宋_GB2312" w:eastAsia="仿宋_GB2312" w:cs="仿宋_GB2312"/>
          <w:b/>
          <w:bCs/>
          <w:color w:val="000000"/>
          <w:kern w:val="0"/>
          <w:sz w:val="32"/>
          <w:szCs w:val="32"/>
          <w:highlight w:val="none"/>
          <w:shd w:val="clear" w:color="auto" w:fill="FFFFFF"/>
          <w:lang w:val="en-US" w:eastAsia="zh-CN"/>
        </w:rPr>
        <w:t>2.部门财政拨款支出情况</w:t>
      </w:r>
      <w:r>
        <w:rPr>
          <w:rFonts w:hint="eastAsia" w:ascii="仿宋_GB2312" w:hAnsi="仿宋_GB2312" w:cs="仿宋_GB2312"/>
          <w:b/>
          <w:bCs/>
          <w:color w:val="000000"/>
          <w:kern w:val="0"/>
          <w:sz w:val="32"/>
          <w:szCs w:val="32"/>
          <w:highlight w:val="none"/>
          <w:shd w:val="clear" w:color="auto" w:fill="FFFFFF"/>
          <w:lang w:val="en-US" w:eastAsia="zh-CN"/>
        </w:rPr>
        <w:t>。</w:t>
      </w:r>
      <w:r>
        <w:rPr>
          <w:rFonts w:hint="eastAsia" w:ascii="Times New Roman" w:hAnsi="Times New Roman" w:eastAsia="仿宋_GB2312" w:cs="Times New Roman"/>
          <w:kern w:val="2"/>
          <w:sz w:val="32"/>
          <w:szCs w:val="24"/>
          <w:lang w:val="en-US" w:eastAsia="zh-CN" w:bidi="ar-SA"/>
        </w:rPr>
        <w:t>2023年总支出1840.73万元，其中：一般公共预算财政拨款支出1282.03万元，非同级财政拨款支出558.70万元。</w:t>
      </w:r>
    </w:p>
    <w:p w14:paraId="529FE525">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rFonts w:hint="default" w:ascii="Times New Roman" w:hAnsi="Times New Roman" w:eastAsia="黑体" w:cs="Times New Roman"/>
          <w:color w:val="000000"/>
          <w:kern w:val="0"/>
          <w:sz w:val="32"/>
          <w:szCs w:val="32"/>
          <w:highlight w:val="none"/>
          <w:shd w:val="clear" w:color="auto" w:fill="FFFFFF"/>
        </w:rPr>
      </w:pPr>
      <w:r>
        <w:rPr>
          <w:rFonts w:hint="default" w:ascii="Times New Roman" w:hAnsi="Times New Roman" w:eastAsia="黑体" w:cs="Times New Roman"/>
          <w:color w:val="000000"/>
          <w:kern w:val="0"/>
          <w:sz w:val="32"/>
          <w:szCs w:val="32"/>
          <w:highlight w:val="none"/>
          <w:shd w:val="clear" w:color="auto" w:fill="FFFFFF"/>
        </w:rPr>
        <w:t>三、</w:t>
      </w:r>
      <w:r>
        <w:rPr>
          <w:rFonts w:hint="default" w:ascii="Times New Roman" w:hAnsi="Times New Roman" w:eastAsia="黑体" w:cs="Times New Roman"/>
          <w:color w:val="000000"/>
          <w:kern w:val="0"/>
          <w:sz w:val="32"/>
          <w:szCs w:val="32"/>
          <w:highlight w:val="none"/>
          <w:u w:val="none"/>
          <w:shd w:val="clear" w:color="auto" w:fill="FFFFFF"/>
        </w:rPr>
        <w:t>部门整体绩效</w:t>
      </w:r>
      <w:r>
        <w:rPr>
          <w:rFonts w:hint="default" w:ascii="Times New Roman" w:hAnsi="Times New Roman" w:eastAsia="黑体" w:cs="Times New Roman"/>
          <w:color w:val="000000"/>
          <w:kern w:val="0"/>
          <w:sz w:val="32"/>
          <w:szCs w:val="32"/>
          <w:highlight w:val="none"/>
          <w:u w:val="none"/>
          <w:shd w:val="clear" w:color="auto" w:fill="FFFFFF"/>
          <w:lang w:eastAsia="zh-CN"/>
        </w:rPr>
        <w:t>分析</w:t>
      </w:r>
    </w:p>
    <w:p w14:paraId="66ACE36C">
      <w:pPr>
        <w:keepNext w:val="0"/>
        <w:keepLines w:val="0"/>
        <w:pageBreakBefore w:val="0"/>
        <w:widowControl/>
        <w:kinsoku/>
        <w:wordWrap/>
        <w:overflowPunct/>
        <w:topLinePunct w:val="0"/>
        <w:autoSpaceDE/>
        <w:autoSpaceDN/>
        <w:bidi w:val="0"/>
        <w:adjustRightInd w:val="0"/>
        <w:snapToGrid w:val="0"/>
        <w:spacing w:line="560" w:lineRule="exact"/>
        <w:ind w:left="0" w:leftChars="0" w:firstLine="643" w:firstLineChars="200"/>
        <w:contextualSpacing/>
        <w:jc w:val="both"/>
        <w:textAlignment w:val="auto"/>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（一）部门预算项目绩效分析</w:t>
      </w:r>
    </w:p>
    <w:p w14:paraId="51FE1C72">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rFonts w:hint="default" w:ascii="Times New Roman" w:hAnsi="Times New Roman" w:eastAsia="仿宋_GB2312" w:cs="Times New Roman"/>
          <w:color w:val="000000"/>
          <w:kern w:val="0"/>
          <w:sz w:val="32"/>
          <w:szCs w:val="32"/>
          <w:highlight w:val="none"/>
          <w:shd w:val="clear" w:color="auto" w:fill="FFFFFF"/>
          <w:lang w:val="en-US" w:eastAsia="zh-CN"/>
        </w:rPr>
      </w:pPr>
      <w:r>
        <w:rPr>
          <w:rFonts w:hint="default" w:ascii="Times New Roman" w:hAnsi="Times New Roman" w:eastAsia="仿宋_GB2312" w:cs="Times New Roman"/>
          <w:color w:val="000000"/>
          <w:kern w:val="0"/>
          <w:sz w:val="32"/>
          <w:szCs w:val="32"/>
          <w:highlight w:val="none"/>
          <w:shd w:val="clear" w:color="auto" w:fill="FFFFFF"/>
          <w:lang w:val="en-US" w:eastAsia="zh-CN"/>
        </w:rPr>
        <w:t>1.人员类项目绩效分析</w:t>
      </w:r>
    </w:p>
    <w:p w14:paraId="4B9F22EF">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rFonts w:hint="default" w:ascii="Times New Roman" w:hAnsi="Times New Roman" w:eastAsia="仿宋_GB2312" w:cs="Times New Roman"/>
          <w:color w:val="000000"/>
          <w:kern w:val="0"/>
          <w:sz w:val="32"/>
          <w:szCs w:val="32"/>
          <w:highlight w:val="none"/>
          <w:shd w:val="clear" w:color="auto" w:fill="FFFFFF"/>
          <w:lang w:val="en-US" w:eastAsia="zh-CN"/>
        </w:rPr>
      </w:pPr>
      <w:r>
        <w:rPr>
          <w:rFonts w:hint="eastAsia"/>
          <w:lang w:val="en-US" w:eastAsia="zh-CN"/>
        </w:rPr>
        <w:t>2023年我院严格执行相关政策，为更好的保障工资津补贴、保险、公积金、奖金、其它工资福利支出等各项人员类支出项目足额发放和缴纳进行预算编制。在全年实际执行过程中，我院充分完成了年初预算目标，科学合理支出资金，在财政下达预算后，及时分配使用，按财政要求进行执行过程中的绩效监控工作，全年预算执行率达到100%，减少了结余资金，全年无任何违规记录。</w:t>
      </w:r>
    </w:p>
    <w:p w14:paraId="4AE86293">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rFonts w:hint="default" w:ascii="Times New Roman" w:hAnsi="Times New Roman" w:eastAsia="仿宋_GB2312" w:cs="Times New Roman"/>
          <w:color w:val="000000"/>
          <w:kern w:val="0"/>
          <w:sz w:val="32"/>
          <w:szCs w:val="32"/>
          <w:highlight w:val="none"/>
          <w:shd w:val="clear" w:color="auto" w:fill="FFFFFF"/>
          <w:lang w:val="en-US" w:eastAsia="zh-CN"/>
        </w:rPr>
      </w:pPr>
      <w:r>
        <w:rPr>
          <w:rFonts w:hint="default" w:ascii="Times New Roman" w:hAnsi="Times New Roman" w:eastAsia="仿宋_GB2312" w:cs="Times New Roman"/>
          <w:color w:val="000000"/>
          <w:kern w:val="0"/>
          <w:sz w:val="32"/>
          <w:szCs w:val="32"/>
          <w:highlight w:val="none"/>
          <w:shd w:val="clear" w:color="auto" w:fill="FFFFFF"/>
          <w:lang w:val="en-US" w:eastAsia="zh-CN"/>
        </w:rPr>
        <w:t>2.运转类项目绩效分析</w:t>
      </w:r>
    </w:p>
    <w:p w14:paraId="19B1713C">
      <w:pPr>
        <w:pStyle w:val="2"/>
        <w:keepNext w:val="0"/>
        <w:keepLines w:val="0"/>
        <w:pageBreakBefore w:val="0"/>
        <w:kinsoku/>
        <w:wordWrap/>
        <w:overflowPunct/>
        <w:topLinePunct w:val="0"/>
        <w:autoSpaceDE/>
        <w:autoSpaceDN/>
        <w:bidi w:val="0"/>
        <w:spacing w:line="560" w:lineRule="exact"/>
        <w:ind w:left="0" w:leftChars="0"/>
        <w:rPr>
          <w:rFonts w:hint="default"/>
          <w:lang w:val="en-US" w:eastAsia="zh-CN"/>
        </w:rPr>
      </w:pPr>
      <w:r>
        <w:rPr>
          <w:rFonts w:hint="eastAsia"/>
          <w:lang w:val="en-US" w:eastAsia="zh-CN"/>
        </w:rPr>
        <w:t>为更好的保障单位日常行政运行，满足检察办公所需的</w:t>
      </w:r>
      <w:r>
        <w:rPr>
          <w:rFonts w:hint="eastAsia" w:ascii="仿宋_GB2312" w:eastAsia="仿宋_GB2312"/>
          <w:sz w:val="32"/>
          <w:szCs w:val="32"/>
          <w:lang w:val="en-US" w:eastAsia="zh-CN"/>
        </w:rPr>
        <w:t>办公费、印刷费、水费、电费、邮电费、物业管理费、租赁费、差旅费、培训费、劳务费、委托业务费、公务接待费、</w:t>
      </w:r>
      <w:r>
        <w:rPr>
          <w:rFonts w:hint="eastAsia" w:ascii="仿宋_GB2312" w:eastAsia="仿宋_GB2312"/>
          <w:sz w:val="32"/>
          <w:szCs w:val="32"/>
        </w:rPr>
        <w:t>工会经费、福利费</w:t>
      </w:r>
      <w:r>
        <w:rPr>
          <w:rFonts w:hint="eastAsia" w:ascii="仿宋_GB2312"/>
          <w:sz w:val="32"/>
          <w:szCs w:val="32"/>
          <w:lang w:eastAsia="zh-CN"/>
        </w:rPr>
        <w:t>、</w:t>
      </w:r>
      <w:r>
        <w:rPr>
          <w:rFonts w:hint="eastAsia" w:ascii="仿宋_GB2312" w:eastAsia="仿宋_GB2312"/>
          <w:sz w:val="32"/>
          <w:szCs w:val="32"/>
          <w:lang w:val="en-US" w:eastAsia="zh-CN"/>
        </w:rPr>
        <w:t>其他交通费用、其他商品和服务</w:t>
      </w:r>
      <w:r>
        <w:rPr>
          <w:rFonts w:hint="eastAsia" w:ascii="仿宋_GB2312"/>
          <w:sz w:val="32"/>
          <w:szCs w:val="32"/>
          <w:lang w:val="en-US" w:eastAsia="zh-CN"/>
        </w:rPr>
        <w:t>、检察司法绩效</w:t>
      </w:r>
      <w:r>
        <w:rPr>
          <w:rFonts w:hint="eastAsia" w:ascii="仿宋_GB2312" w:eastAsia="仿宋_GB2312"/>
          <w:sz w:val="32"/>
          <w:szCs w:val="32"/>
          <w:lang w:val="en-US" w:eastAsia="zh-CN"/>
        </w:rPr>
        <w:t>等支出</w:t>
      </w:r>
      <w:r>
        <w:rPr>
          <w:rFonts w:hint="eastAsia" w:ascii="仿宋_GB2312"/>
          <w:sz w:val="32"/>
          <w:szCs w:val="32"/>
          <w:lang w:val="en-US" w:eastAsia="zh-CN"/>
        </w:rPr>
        <w:t>，我院进行了日常公用经费、非定额公用经费</w:t>
      </w:r>
      <w:r>
        <w:rPr>
          <w:rFonts w:hint="eastAsia" w:ascii="Times New Roman" w:hAnsi="Times New Roman" w:eastAsia="仿宋_GB2312" w:cs="Times New Roman"/>
          <w:kern w:val="2"/>
          <w:sz w:val="32"/>
          <w:szCs w:val="24"/>
          <w:lang w:val="en-US" w:eastAsia="zh-CN" w:bidi="ar-SA"/>
        </w:rPr>
        <w:t>2项公用经费项目的年初预算编制，荣县检察院--司法救助项目、荣县检察院--司法绩效项目和荣县检察院--办公办案项目3</w:t>
      </w:r>
      <w:r>
        <w:rPr>
          <w:rFonts w:hint="eastAsia" w:ascii="仿宋_GB2312" w:hAnsi="仿宋"/>
          <w:sz w:val="32"/>
          <w:szCs w:val="32"/>
          <w:highlight w:val="none"/>
          <w:lang w:val="en-US" w:eastAsia="zh-CN"/>
        </w:rPr>
        <w:t>项其他运转类项目经费的年初预算编制。</w:t>
      </w:r>
      <w:r>
        <w:rPr>
          <w:rFonts w:hint="eastAsia"/>
          <w:lang w:val="en-US" w:eastAsia="zh-CN"/>
        </w:rPr>
        <w:t>在全年实际执行过程中，我院科学支出资金时，按需进行细化支出经济分类科目计划填报，在财政下达预算后，及时分配使用，同时按财政要求进行执行过程中的绩效监控工作，</w:t>
      </w:r>
      <w:r>
        <w:rPr>
          <w:rFonts w:hint="eastAsia"/>
          <w:highlight w:val="none"/>
          <w:lang w:val="en-US" w:eastAsia="zh-CN"/>
        </w:rPr>
        <w:t>全年预算执行率均为100%，</w:t>
      </w:r>
      <w:r>
        <w:rPr>
          <w:rFonts w:hint="eastAsia"/>
          <w:lang w:val="en-US" w:eastAsia="zh-CN"/>
        </w:rPr>
        <w:t xml:space="preserve">全年无任何违规记录。  </w:t>
      </w:r>
    </w:p>
    <w:p w14:paraId="248E7E6D">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rFonts w:hint="default" w:ascii="Times New Roman" w:hAnsi="Times New Roman" w:eastAsia="仿宋_GB2312" w:cs="Times New Roman"/>
          <w:color w:val="000000"/>
          <w:kern w:val="0"/>
          <w:sz w:val="32"/>
          <w:szCs w:val="32"/>
          <w:highlight w:val="none"/>
          <w:shd w:val="clear" w:color="auto" w:fill="FFFFFF"/>
          <w:lang w:val="en-US" w:eastAsia="zh-CN"/>
        </w:rPr>
      </w:pPr>
      <w:r>
        <w:rPr>
          <w:rFonts w:hint="default" w:ascii="Times New Roman" w:hAnsi="Times New Roman" w:eastAsia="仿宋_GB2312" w:cs="Times New Roman"/>
          <w:color w:val="000000"/>
          <w:kern w:val="0"/>
          <w:sz w:val="32"/>
          <w:szCs w:val="32"/>
          <w:highlight w:val="none"/>
          <w:shd w:val="clear" w:color="auto" w:fill="FFFFFF"/>
          <w:lang w:val="en-US" w:eastAsia="zh-CN"/>
        </w:rPr>
        <w:t>3.特定目标类项目绩效分析</w:t>
      </w:r>
    </w:p>
    <w:p w14:paraId="0E823822">
      <w:pPr>
        <w:pStyle w:val="2"/>
        <w:keepNext w:val="0"/>
        <w:keepLines w:val="0"/>
        <w:pageBreakBefore w:val="0"/>
        <w:kinsoku/>
        <w:wordWrap/>
        <w:overflowPunct/>
        <w:topLinePunct w:val="0"/>
        <w:autoSpaceDE/>
        <w:autoSpaceDN/>
        <w:bidi w:val="0"/>
        <w:spacing w:line="560" w:lineRule="exact"/>
        <w:ind w:left="0" w:leftChars="0"/>
        <w:rPr>
          <w:rFonts w:hint="default" w:ascii="Times New Roman" w:hAnsi="Times New Roman" w:eastAsia="仿宋_GB2312" w:cs="Times New Roman"/>
          <w:kern w:val="2"/>
          <w:sz w:val="32"/>
          <w:szCs w:val="24"/>
          <w:lang w:val="en-US" w:eastAsia="zh-CN" w:bidi="ar-SA"/>
        </w:rPr>
      </w:pPr>
      <w:r>
        <w:rPr>
          <w:rFonts w:hint="eastAsia" w:ascii="Times New Roman" w:hAnsi="Times New Roman" w:eastAsia="仿宋_GB2312" w:cs="Times New Roman"/>
          <w:kern w:val="2"/>
          <w:sz w:val="32"/>
          <w:szCs w:val="24"/>
          <w:lang w:val="en-US" w:eastAsia="zh-CN" w:bidi="ar-SA"/>
        </w:rPr>
        <w:t>2023年我院特定目标类包括荣县人民检察院--智慧检务项目（管理）立项项目，项目的实施积极推动了新时代检察工作的进一步提高，保障了我院检察办案、智慧检务和检察装备的工作经费，确保了新时代检察机关法律监督职能和公正司法水平的高质量发展。在全年实际执行过程中，我院充分完成了年初预算目标，科学合理实现支出，在财政下达项目预算指标后，及时按需分配资金，按财政要求进行执行过程中的绩效监控工作，年终考核时预算执行率均达到100%，减少了结余资金，全年无任何违规记录。</w:t>
      </w:r>
    </w:p>
    <w:p w14:paraId="3A4526DE">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3" w:firstLineChars="200"/>
        <w:contextualSpacing/>
        <w:jc w:val="both"/>
        <w:textAlignment w:val="auto"/>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（二）部门整体履职绩效分析</w:t>
      </w:r>
    </w:p>
    <w:p w14:paraId="20A9C9FB">
      <w:pPr>
        <w:keepNext w:val="0"/>
        <w:keepLines w:val="0"/>
        <w:pageBreakBefore w:val="0"/>
        <w:kinsoku/>
        <w:wordWrap/>
        <w:overflowPunct/>
        <w:topLinePunct w:val="0"/>
        <w:autoSpaceDE/>
        <w:autoSpaceDN/>
        <w:bidi w:val="0"/>
        <w:spacing w:line="560" w:lineRule="exact"/>
        <w:ind w:left="0" w:leftChars="0"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一是</w:t>
      </w:r>
      <w:r>
        <w:rPr>
          <w:rFonts w:hint="eastAsia" w:ascii="仿宋_GB2312" w:hAnsi="仿宋_GB2312" w:eastAsia="仿宋_GB2312" w:cs="仿宋_GB2312"/>
          <w:sz w:val="32"/>
          <w:szCs w:val="32"/>
        </w:rPr>
        <w:t>坚决维护社会安全稳定。开展扫黑除恶常态化斗争，依法严厉</w:t>
      </w:r>
      <w:r>
        <w:rPr>
          <w:rFonts w:hint="eastAsia" w:ascii="仿宋_GB2312" w:eastAsia="仿宋_GB2312"/>
          <w:sz w:val="32"/>
          <w:szCs w:val="32"/>
        </w:rPr>
        <w:t>打击严重暴力犯罪、多发性侵财犯罪，</w:t>
      </w:r>
      <w:r>
        <w:rPr>
          <w:rFonts w:hint="eastAsia" w:ascii="Times New Roman" w:hAnsi="Times New Roman" w:eastAsia="仿宋_GB2312" w:cs="Times New Roman"/>
          <w:sz w:val="32"/>
          <w:szCs w:val="32"/>
        </w:rPr>
        <w:t>批捕34</w:t>
      </w:r>
      <w:r>
        <w:rPr>
          <w:rFonts w:hint="eastAsia" w:ascii="仿宋_GB2312" w:eastAsia="仿宋_GB2312"/>
          <w:sz w:val="32"/>
          <w:szCs w:val="32"/>
        </w:rPr>
        <w:t>件</w:t>
      </w:r>
      <w:r>
        <w:rPr>
          <w:rFonts w:hint="eastAsia" w:ascii="Times New Roman" w:hAnsi="Times New Roman" w:eastAsia="仿宋_GB2312" w:cs="Times New Roman"/>
          <w:sz w:val="32"/>
          <w:szCs w:val="32"/>
        </w:rPr>
        <w:t>39人，起诉45件54</w:t>
      </w:r>
      <w:r>
        <w:rPr>
          <w:rFonts w:hint="eastAsia" w:ascii="仿宋_GB2312" w:eastAsia="仿宋_GB2312"/>
          <w:sz w:val="32"/>
          <w:szCs w:val="32"/>
        </w:rPr>
        <w:t>人。</w:t>
      </w:r>
      <w:r>
        <w:rPr>
          <w:rFonts w:hint="eastAsia" w:ascii="仿宋_GB2312" w:hAnsi="仿宋_GB2312" w:eastAsia="仿宋_GB2312" w:cs="仿宋_GB2312"/>
          <w:sz w:val="32"/>
          <w:szCs w:val="32"/>
        </w:rPr>
        <w:t>防范化解重大金融风险，依法严惩涉众型经济犯罪，起诉非法集资案件</w:t>
      </w:r>
      <w:r>
        <w:rPr>
          <w:rFonts w:hint="eastAsia" w:ascii="Times New Roman" w:hAnsi="Times New Roman" w:eastAsia="仿宋_GB2312"/>
          <w:sz w:val="32"/>
          <w:szCs w:val="32"/>
        </w:rPr>
        <w:t>5件14人</w:t>
      </w:r>
      <w:r>
        <w:rPr>
          <w:rFonts w:hint="eastAsia" w:ascii="仿宋_GB2312" w:hAnsi="仿宋_GB2312" w:eastAsia="仿宋_GB2312" w:cs="仿宋_GB2312"/>
          <w:sz w:val="32"/>
          <w:szCs w:val="32"/>
        </w:rPr>
        <w:t>。</w:t>
      </w:r>
      <w:r>
        <w:rPr>
          <w:rFonts w:hint="eastAsia" w:ascii="Times New Roman" w:hAnsi="Times New Roman" w:eastAsia="仿宋_GB2312" w:cs="仿宋_GB2312"/>
          <w:kern w:val="0"/>
          <w:sz w:val="32"/>
          <w:szCs w:val="32"/>
        </w:rPr>
        <w:t>筑牢禁毒综合防线，</w:t>
      </w:r>
      <w:r>
        <w:rPr>
          <w:rFonts w:hint="eastAsia" w:ascii="Times New Roman" w:hAnsi="Times New Roman" w:eastAsia="仿宋_GB2312" w:cs="Times New Roman"/>
          <w:sz w:val="32"/>
          <w:szCs w:val="32"/>
        </w:rPr>
        <w:t>批捕毒品犯罪案件10件11人，起诉11件16人。起诉涉食品药品安全领域案件3件3人。</w:t>
      </w:r>
      <w:r>
        <w:rPr>
          <w:rFonts w:hint="eastAsia" w:ascii="仿宋_GB2312" w:hAnsi="仿宋_GB2312" w:eastAsia="仿宋_GB2312" w:cs="仿宋_GB2312"/>
          <w:sz w:val="32"/>
          <w:szCs w:val="32"/>
        </w:rPr>
        <w:t>加强诉源治理，针对性侵未成年人、</w:t>
      </w:r>
      <w:r>
        <w:rPr>
          <w:rFonts w:hint="eastAsia" w:ascii="仿宋_GB2312" w:eastAsia="仿宋_GB2312"/>
          <w:sz w:val="32"/>
          <w:szCs w:val="32"/>
        </w:rPr>
        <w:t>落实国家粮油收储政策、违规办理养老保险补缴等问题，</w:t>
      </w:r>
      <w:r>
        <w:rPr>
          <w:rFonts w:hint="eastAsia" w:ascii="仿宋_GB2312" w:hAnsi="仿宋_GB2312" w:eastAsia="仿宋_GB2312" w:cs="仿宋_GB2312"/>
          <w:sz w:val="32"/>
          <w:szCs w:val="32"/>
        </w:rPr>
        <w:t>提出社会治理类检察建议</w:t>
      </w:r>
      <w:r>
        <w:rPr>
          <w:rFonts w:hint="eastAsia" w:ascii="Times New Roman" w:hAnsi="Times New Roman" w:eastAsia="仿宋_GB2312" w:cs="Times New Roman"/>
          <w:sz w:val="32"/>
          <w:szCs w:val="32"/>
        </w:rPr>
        <w:t>5份。针对醉酒驾驶、电信网络诈骗、九类涉恶案件开展调研，形成3份类案分析报告报送县委、县委政法委，为推动建设更高水平的平安荣县贡献检察智慧。</w:t>
      </w:r>
    </w:p>
    <w:p w14:paraId="4DBBA7D3">
      <w:pPr>
        <w:pStyle w:val="12"/>
        <w:keepNext w:val="0"/>
        <w:keepLines w:val="0"/>
        <w:pageBreakBefore w:val="0"/>
        <w:kinsoku/>
        <w:wordWrap/>
        <w:overflowPunct/>
        <w:topLinePunct w:val="0"/>
        <w:autoSpaceDE/>
        <w:autoSpaceDN/>
        <w:bidi w:val="0"/>
        <w:spacing w:after="0" w:line="560" w:lineRule="exact"/>
        <w:ind w:left="0" w:leftChars="0" w:firstLine="643"/>
        <w:rPr>
          <w:rFonts w:eastAsia="仿宋_GB2312"/>
        </w:rPr>
      </w:pP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主动融入成渝地区双城经济圈建设。深化川渝检察协作，与重庆市荣昌区检察院签署《加强检察协作服务保障成渝地区双城经济圈建设战略合作框架协议》，</w:t>
      </w:r>
      <w:r>
        <w:rPr>
          <w:rFonts w:ascii="Times New Roman" w:hAnsi="Times New Roman" w:eastAsia="仿宋_GB2312"/>
          <w:sz w:val="32"/>
          <w:szCs w:val="32"/>
        </w:rPr>
        <w:t>建立13项协作机制</w:t>
      </w:r>
      <w:r>
        <w:rPr>
          <w:rFonts w:hint="eastAsia" w:ascii="Times New Roman" w:hAnsi="Times New Roman" w:eastAsia="仿宋_GB2312"/>
          <w:sz w:val="32"/>
          <w:szCs w:val="32"/>
        </w:rPr>
        <w:t>，向重庆市大足区检察院</w:t>
      </w:r>
      <w:r>
        <w:rPr>
          <w:rFonts w:hint="eastAsia" w:ascii="仿宋_GB2312" w:hAnsi="仿宋_GB2312" w:eastAsia="仿宋_GB2312" w:cs="仿宋_GB2312"/>
          <w:sz w:val="32"/>
          <w:szCs w:val="32"/>
        </w:rPr>
        <w:t>移送</w:t>
      </w:r>
      <w:r>
        <w:rPr>
          <w:rFonts w:hint="eastAsia" w:ascii="Times New Roman" w:hAnsi="Times New Roman" w:eastAsia="仿宋_GB2312"/>
          <w:sz w:val="32"/>
          <w:szCs w:val="32"/>
        </w:rPr>
        <w:t>未成年人在重庆地区KTV从事有偿陪侍相关线索。依托12309检察服务中心，使用“律检通”系统，为律师异地阅卷提供优质服务，以高质量的司法供给</w:t>
      </w:r>
      <w:r>
        <w:rPr>
          <w:rFonts w:ascii="Times New Roman" w:hAnsi="Times New Roman" w:eastAsia="仿宋_GB2312"/>
          <w:sz w:val="32"/>
          <w:szCs w:val="32"/>
        </w:rPr>
        <w:t>服务保障成渝双城经济圈建设。</w:t>
      </w:r>
    </w:p>
    <w:p w14:paraId="4F765755">
      <w:pPr>
        <w:keepNext w:val="0"/>
        <w:keepLines w:val="0"/>
        <w:pageBreakBefore w:val="0"/>
        <w:kinsoku/>
        <w:wordWrap/>
        <w:overflowPunct/>
        <w:topLinePunct w:val="0"/>
        <w:autoSpaceDE/>
        <w:autoSpaceDN/>
        <w:bidi w:val="0"/>
        <w:spacing w:line="560" w:lineRule="exact"/>
        <w:ind w:left="0" w:leftChars="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三是</w:t>
      </w:r>
      <w:r>
        <w:rPr>
          <w:rFonts w:hint="eastAsia" w:ascii="Times New Roman" w:hAnsi="Times New Roman" w:eastAsia="仿宋_GB2312" w:cs="Times New Roman"/>
          <w:sz w:val="32"/>
          <w:szCs w:val="32"/>
        </w:rPr>
        <w:t>深化未成年人综合司法保护。对侵害未成年人犯罪零容忍，批捕侵害未成年人案件13件13人，起诉侵害未成年人犯罪案件15件16人。对未成年人既“厚爱”又“严管”，批捕未成年人犯罪案件1</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件1</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人，起诉未成年人犯罪案件1</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件</w:t>
      </w:r>
      <w:r>
        <w:rPr>
          <w:rFonts w:ascii="Times New Roman" w:hAnsi="Times New Roman" w:eastAsia="仿宋_GB2312" w:cs="Times New Roman"/>
          <w:sz w:val="32"/>
          <w:szCs w:val="32"/>
        </w:rPr>
        <w:t>29</w:t>
      </w:r>
      <w:r>
        <w:rPr>
          <w:rFonts w:hint="eastAsia" w:ascii="Times New Roman" w:hAnsi="Times New Roman" w:eastAsia="仿宋_GB2312" w:cs="Times New Roman"/>
          <w:sz w:val="32"/>
          <w:szCs w:val="32"/>
        </w:rPr>
        <w:t>人</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强化未成年人综合司法保护，向未成年人监护人发出督促监护令3份，对4名未成年被害人发放司法救助金共计4.64万元</w:t>
      </w:r>
      <w:r>
        <w:rPr>
          <w:rFonts w:hint="eastAsia" w:ascii="仿宋_GB2312" w:hAnsi="仿宋_GB2312" w:eastAsia="仿宋_GB2312" w:cs="仿宋_GB2312"/>
          <w:sz w:val="32"/>
          <w:szCs w:val="32"/>
        </w:rPr>
        <w:t>。</w:t>
      </w:r>
      <w:r>
        <w:rPr>
          <w:rFonts w:hint="eastAsia" w:ascii="Times New Roman" w:hAnsi="Times New Roman" w:eastAsia="仿宋_GB2312" w:cs="Times New Roman"/>
          <w:sz w:val="32"/>
          <w:szCs w:val="32"/>
        </w:rPr>
        <w:t>强化未成年人检察工作综合履职质效，就5起涉未成年人监护案件依法开展支持起诉工作，均被采纳。就网吧、旅馆、酒吧等违规接纳未成年人问题，发出行政公益诉讼</w:t>
      </w:r>
      <w:r>
        <w:rPr>
          <w:rFonts w:hint="eastAsia" w:ascii="仿宋_GB2312" w:hAnsi="仿宋_GB2312" w:eastAsia="仿宋_GB2312" w:cs="仿宋_GB2312"/>
          <w:sz w:val="32"/>
          <w:szCs w:val="32"/>
        </w:rPr>
        <w:t>诉前检察建议</w:t>
      </w:r>
      <w:r>
        <w:rPr>
          <w:rFonts w:hint="eastAsia" w:ascii="Times New Roman" w:hAnsi="Times New Roman" w:eastAsia="仿宋_GB2312" w:cs="Times New Roman"/>
          <w:sz w:val="32"/>
          <w:szCs w:val="32"/>
        </w:rPr>
        <w:t>3份，有效督促行政机关依法履职。推进“春天计划课前学法”，深入中小学开展未成年人“法治成年礼”活动，开展法治宣讲11次。办理的未成年人综合司法保护</w:t>
      </w:r>
      <w:r>
        <w:rPr>
          <w:rFonts w:ascii="Times New Roman" w:hAnsi="Times New Roman" w:eastAsia="仿宋_GB2312" w:cs="Times New Roman"/>
          <w:sz w:val="32"/>
          <w:szCs w:val="32"/>
        </w:rPr>
        <w:t>案入选最高检第四十三批指导性案例</w:t>
      </w:r>
      <w:r>
        <w:rPr>
          <w:rFonts w:hint="eastAsia" w:ascii="Times New Roman" w:hAnsi="Times New Roman" w:eastAsia="仿宋_GB2312" w:cs="Times New Roman"/>
          <w:sz w:val="32"/>
          <w:szCs w:val="32"/>
        </w:rPr>
        <w:t>。</w:t>
      </w:r>
    </w:p>
    <w:p w14:paraId="0EA31CC6">
      <w:pPr>
        <w:keepNext w:val="0"/>
        <w:keepLines w:val="0"/>
        <w:pageBreakBefore w:val="0"/>
        <w:kinsoku/>
        <w:wordWrap/>
        <w:overflowPunct/>
        <w:topLinePunct w:val="0"/>
        <w:autoSpaceDE/>
        <w:autoSpaceDN/>
        <w:bidi w:val="0"/>
        <w:spacing w:line="560" w:lineRule="exact"/>
        <w:ind w:left="0" w:leftChars="0"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四是</w:t>
      </w:r>
      <w:r>
        <w:rPr>
          <w:rFonts w:hint="eastAsia" w:ascii="Times New Roman" w:hAnsi="Times New Roman" w:eastAsia="仿宋_GB2312" w:cs="Times New Roman"/>
          <w:sz w:val="32"/>
          <w:szCs w:val="32"/>
        </w:rPr>
        <w:t>高度重视民生权益保障。紧</w:t>
      </w:r>
      <w:r>
        <w:rPr>
          <w:rFonts w:ascii="仿宋_GB2312" w:hAnsi="宋体" w:eastAsia="仿宋_GB2312" w:cs="仿宋_GB2312"/>
          <w:sz w:val="32"/>
          <w:szCs w:val="32"/>
          <w:shd w:val="clear" w:color="auto" w:fill="FFFFFF"/>
        </w:rPr>
        <w:t>盯</w:t>
      </w:r>
      <w:r>
        <w:rPr>
          <w:rFonts w:hint="eastAsia" w:ascii="仿宋_GB2312" w:hAnsi="宋体" w:eastAsia="仿宋_GB2312" w:cs="仿宋_GB2312"/>
          <w:sz w:val="32"/>
          <w:szCs w:val="32"/>
          <w:shd w:val="clear" w:color="auto" w:fill="FFFFFF"/>
        </w:rPr>
        <w:t>电信网络诈骗案件</w:t>
      </w:r>
      <w:r>
        <w:rPr>
          <w:rFonts w:ascii="仿宋_GB2312" w:hAnsi="宋体" w:eastAsia="仿宋_GB2312" w:cs="仿宋_GB2312"/>
          <w:sz w:val="32"/>
          <w:szCs w:val="32"/>
          <w:shd w:val="clear" w:color="auto" w:fill="FFFFFF"/>
        </w:rPr>
        <w:t>高发态势，</w:t>
      </w:r>
      <w:r>
        <w:rPr>
          <w:rFonts w:hint="eastAsia" w:ascii="仿宋_GB2312" w:hAnsi="宋体" w:eastAsia="仿宋_GB2312" w:cs="仿宋_GB2312"/>
          <w:sz w:val="32"/>
          <w:szCs w:val="32"/>
          <w:shd w:val="clear" w:color="auto" w:fill="FFFFFF"/>
        </w:rPr>
        <w:t>起诉电信网络诈骗案件</w:t>
      </w:r>
      <w:r>
        <w:rPr>
          <w:rFonts w:hint="eastAsia" w:ascii="Times New Roman" w:hAnsi="Times New Roman" w:eastAsia="仿宋_GB2312" w:cs="Times New Roman"/>
          <w:sz w:val="32"/>
          <w:szCs w:val="32"/>
        </w:rPr>
        <w:t>17件80人，挽回经济损失2623.53万元，保护公民财产安全</w:t>
      </w:r>
      <w:r>
        <w:rPr>
          <w:rFonts w:hint="eastAsia" w:ascii="仿宋_GB2312" w:hAnsi="宋体" w:eastAsia="仿宋_GB2312" w:cs="仿宋_GB2312"/>
          <w:sz w:val="32"/>
          <w:szCs w:val="32"/>
          <w:shd w:val="clear" w:color="auto" w:fill="FFFFFF"/>
        </w:rPr>
        <w:t>。</w:t>
      </w:r>
      <w:r>
        <w:rPr>
          <w:rFonts w:hint="eastAsia" w:ascii="Times New Roman" w:hAnsi="Times New Roman" w:eastAsia="仿宋_GB2312" w:cs="Times New Roman"/>
          <w:sz w:val="32"/>
          <w:szCs w:val="32"/>
        </w:rPr>
        <w:t>督促行政机关清理固废垃圾 50 余吨、复垦农用地5.54亩、清理污染河道的污</w:t>
      </w:r>
      <w:r>
        <w:rPr>
          <w:rFonts w:hint="eastAsia" w:ascii="仿宋_GB2312" w:hAnsi="宋体" w:eastAsia="仿宋_GB2312" w:cs="仿宋_GB2312"/>
          <w:sz w:val="32"/>
          <w:szCs w:val="32"/>
          <w:shd w:val="clear" w:color="auto" w:fill="FFFFFF"/>
        </w:rPr>
        <w:t>染源</w:t>
      </w:r>
      <w:r>
        <w:rPr>
          <w:rFonts w:hint="eastAsia" w:ascii="Times New Roman" w:hAnsi="Times New Roman" w:eastAsia="仿宋_GB2312" w:cs="Times New Roman"/>
          <w:sz w:val="32"/>
          <w:szCs w:val="32"/>
        </w:rPr>
        <w:t>3</w:t>
      </w:r>
      <w:r>
        <w:rPr>
          <w:rFonts w:hint="eastAsia" w:ascii="仿宋_GB2312" w:hAnsi="宋体" w:eastAsia="仿宋_GB2312" w:cs="仿宋_GB2312"/>
          <w:sz w:val="32"/>
          <w:szCs w:val="32"/>
          <w:shd w:val="clear" w:color="auto" w:fill="FFFFFF"/>
        </w:rPr>
        <w:t>处</w:t>
      </w:r>
      <w:r>
        <w:rPr>
          <w:rFonts w:hint="eastAsia" w:ascii="Times New Roman" w:hAnsi="Times New Roman" w:eastAsia="仿宋_GB2312" w:cs="Times New Roman"/>
          <w:sz w:val="32"/>
          <w:szCs w:val="32"/>
        </w:rPr>
        <w:t>，解决老百姓急难愁盼问题</w:t>
      </w:r>
      <w:r>
        <w:rPr>
          <w:rFonts w:hint="eastAsia" w:ascii="仿宋_GB2312" w:hAnsi="宋体" w:eastAsia="仿宋_GB2312" w:cs="仿宋_GB2312"/>
          <w:sz w:val="32"/>
          <w:szCs w:val="32"/>
          <w:shd w:val="clear" w:color="auto" w:fill="FFFFFF"/>
        </w:rPr>
        <w:t>。用好国家司法救助制度，办理司法救助案件</w:t>
      </w:r>
      <w:r>
        <w:rPr>
          <w:rFonts w:hint="eastAsia" w:ascii="Times New Roman" w:hAnsi="Times New Roman" w:eastAsia="仿宋_GB2312" w:cs="Times New Roman"/>
          <w:sz w:val="32"/>
          <w:szCs w:val="32"/>
        </w:rPr>
        <w:t>19件19人，发放救助金21.6万元。积极推动城乡融合发展，协助市检察院完成来牟镇一洞桥村高压电改造，实现全村主干道亮化工程。</w:t>
      </w:r>
    </w:p>
    <w:p w14:paraId="06AEFF07">
      <w:pPr>
        <w:keepNext w:val="0"/>
        <w:keepLines w:val="0"/>
        <w:pageBreakBefore w:val="0"/>
        <w:kinsoku/>
        <w:wordWrap/>
        <w:overflowPunct/>
        <w:topLinePunct w:val="0"/>
        <w:autoSpaceDE/>
        <w:autoSpaceDN/>
        <w:bidi w:val="0"/>
        <w:spacing w:line="560" w:lineRule="exact"/>
        <w:ind w:left="0" w:leftChars="0" w:firstLine="640" w:firstLineChars="200"/>
        <w:rPr>
          <w:rFonts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五是</w:t>
      </w:r>
      <w:r>
        <w:rPr>
          <w:rFonts w:hint="eastAsia" w:ascii="Times New Roman" w:hAnsi="Times New Roman" w:eastAsia="仿宋_GB2312" w:cs="Times New Roman"/>
          <w:sz w:val="32"/>
          <w:szCs w:val="32"/>
        </w:rPr>
        <w:t>持续优化刑事检察提质增效。</w:t>
      </w:r>
      <w:r>
        <w:rPr>
          <w:rFonts w:hint="eastAsia" w:ascii="仿宋_GB2312" w:eastAsia="仿宋_GB2312"/>
          <w:bCs/>
          <w:sz w:val="32"/>
          <w:szCs w:val="32"/>
        </w:rPr>
        <w:t>全面准确落实宽严相济刑事政策，</w:t>
      </w:r>
      <w:r>
        <w:rPr>
          <w:rFonts w:hint="eastAsia" w:ascii="Times New Roman" w:hAnsi="Times New Roman" w:eastAsia="仿宋_GB2312" w:cs="Times New Roman"/>
          <w:sz w:val="32"/>
          <w:szCs w:val="32"/>
        </w:rPr>
        <w:t>批准和决定逮捕118件155人，起诉320件522人。办理职务犯罪案件5件8人，制发检察建议2份。适用认罪认罚从宽制度审结397件586人，提出确定刑量刑建议465人，所有认罪认罚案件听取意见过程均同步录音录像。依托</w:t>
      </w:r>
      <w:r>
        <w:rPr>
          <w:rFonts w:hint="eastAsia" w:ascii="仿宋_GB2312" w:hAnsi="仿宋_GB2312" w:eastAsia="仿宋_GB2312" w:cs="仿宋_GB2312"/>
          <w:sz w:val="32"/>
          <w:szCs w:val="32"/>
        </w:rPr>
        <w:t>侦查监督与协作配合办公室</w:t>
      </w:r>
      <w:r>
        <w:rPr>
          <w:rFonts w:hint="eastAsia" w:ascii="Times New Roman" w:hAnsi="Times New Roman" w:eastAsia="仿宋_GB2312" w:cs="Times New Roman"/>
          <w:sz w:val="32"/>
          <w:szCs w:val="32"/>
        </w:rPr>
        <w:t>，提前介入引导侦查94件，办理立案监督案件17件18人、撤案监督案件16件21人。建议行政机关移送涉嫌犯罪案件6件。</w:t>
      </w:r>
      <w:r>
        <w:rPr>
          <w:rFonts w:hint="eastAsia" w:ascii="仿宋_GB2312" w:eastAsia="仿宋_GB2312"/>
          <w:bCs/>
          <w:sz w:val="32"/>
          <w:szCs w:val="32"/>
        </w:rPr>
        <w:t>书面纠正侦查</w:t>
      </w:r>
      <w:r>
        <w:rPr>
          <w:rFonts w:hint="eastAsia" w:ascii="仿宋_GB2312" w:hAnsi="宋体" w:eastAsia="仿宋_GB2312"/>
          <w:sz w:val="32"/>
          <w:szCs w:val="32"/>
        </w:rPr>
        <w:t>活动违法</w:t>
      </w:r>
      <w:r>
        <w:rPr>
          <w:rFonts w:hint="eastAsia" w:ascii="Times New Roman" w:hAnsi="Times New Roman" w:eastAsia="仿宋_GB2312" w:cs="Times New Roman"/>
          <w:sz w:val="32"/>
          <w:szCs w:val="32"/>
        </w:rPr>
        <w:t>24</w:t>
      </w:r>
      <w:r>
        <w:rPr>
          <w:rFonts w:hint="eastAsia" w:ascii="仿宋_GB2312" w:hAnsi="宋体" w:eastAsia="仿宋_GB2312"/>
          <w:sz w:val="32"/>
          <w:szCs w:val="32"/>
        </w:rPr>
        <w:t>件</w:t>
      </w:r>
      <w:r>
        <w:rPr>
          <w:rFonts w:hint="eastAsia" w:ascii="Times New Roman" w:hAnsi="Times New Roman" w:eastAsia="仿宋_GB2312" w:cs="Times New Roman"/>
          <w:sz w:val="32"/>
          <w:szCs w:val="32"/>
        </w:rPr>
        <w:t>、审判活动违法1件，提出抗诉2件，追捕、追诉26人。1件案件获评四川政法“五年百佳”案例。</w:t>
      </w:r>
      <w:r>
        <w:rPr>
          <w:rFonts w:ascii="仿宋_GB2312" w:hAnsi="仿宋" w:eastAsia="仿宋_GB2312"/>
          <w:sz w:val="32"/>
          <w:szCs w:val="32"/>
        </w:rPr>
        <w:t>落实</w:t>
      </w:r>
      <w:r>
        <w:rPr>
          <w:rFonts w:hint="eastAsia" w:ascii="仿宋_GB2312" w:hAnsi="仿宋" w:eastAsia="仿宋_GB2312"/>
          <w:sz w:val="32"/>
          <w:szCs w:val="32"/>
        </w:rPr>
        <w:t>“</w:t>
      </w:r>
      <w:r>
        <w:rPr>
          <w:rFonts w:ascii="仿宋_GB2312" w:hAnsi="仿宋" w:eastAsia="仿宋_GB2312"/>
          <w:sz w:val="32"/>
          <w:szCs w:val="32"/>
        </w:rPr>
        <w:t>派驻+巡回</w:t>
      </w:r>
      <w:r>
        <w:rPr>
          <w:rFonts w:hint="eastAsia" w:ascii="仿宋_GB2312" w:hAnsi="仿宋" w:eastAsia="仿宋_GB2312"/>
          <w:sz w:val="32"/>
          <w:szCs w:val="32"/>
        </w:rPr>
        <w:t>”</w:t>
      </w:r>
      <w:r>
        <w:rPr>
          <w:rFonts w:ascii="仿宋_GB2312" w:hAnsi="仿宋" w:eastAsia="仿宋_GB2312"/>
          <w:sz w:val="32"/>
          <w:szCs w:val="32"/>
        </w:rPr>
        <w:t>检察机制</w:t>
      </w:r>
      <w:r>
        <w:rPr>
          <w:rFonts w:hint="eastAsia" w:ascii="仿宋_GB2312" w:hAnsi="仿宋_GB2312" w:eastAsia="仿宋_GB2312" w:cs="仿宋_GB2312"/>
          <w:sz w:val="32"/>
          <w:szCs w:val="32"/>
        </w:rPr>
        <w:t>，参与巡回检察</w:t>
      </w: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次，针</w:t>
      </w:r>
      <w:r>
        <w:rPr>
          <w:rFonts w:hint="eastAsia" w:ascii="Times New Roman" w:hAnsi="Times New Roman" w:eastAsia="仿宋_GB2312" w:cs="Times New Roman"/>
          <w:sz w:val="32"/>
          <w:szCs w:val="32"/>
        </w:rPr>
        <w:t>对</w:t>
      </w:r>
      <w:r>
        <w:rPr>
          <w:rFonts w:eastAsia="仿宋_GB2312"/>
          <w:sz w:val="32"/>
          <w:szCs w:val="32"/>
        </w:rPr>
        <w:t>纠正监管场所</w:t>
      </w:r>
      <w:r>
        <w:rPr>
          <w:rFonts w:hint="eastAsia" w:eastAsia="仿宋_GB2312"/>
          <w:sz w:val="32"/>
          <w:szCs w:val="32"/>
        </w:rPr>
        <w:t>、刑事财产刑执行</w:t>
      </w:r>
      <w:r>
        <w:rPr>
          <w:rFonts w:eastAsia="仿宋_GB2312"/>
          <w:sz w:val="32"/>
          <w:szCs w:val="32"/>
        </w:rPr>
        <w:t>、监外执行和社区矫正</w:t>
      </w:r>
      <w:r>
        <w:rPr>
          <w:rFonts w:hint="eastAsia" w:eastAsia="仿宋_GB2312"/>
          <w:sz w:val="32"/>
          <w:szCs w:val="32"/>
        </w:rPr>
        <w:t>中存在的</w:t>
      </w:r>
      <w:r>
        <w:rPr>
          <w:rFonts w:eastAsia="仿宋_GB2312"/>
          <w:sz w:val="32"/>
          <w:szCs w:val="32"/>
        </w:rPr>
        <w:t>违法情形</w:t>
      </w:r>
      <w:r>
        <w:rPr>
          <w:rFonts w:hint="eastAsia" w:eastAsia="仿宋_GB2312"/>
          <w:sz w:val="32"/>
          <w:szCs w:val="32"/>
        </w:rPr>
        <w:t>，</w:t>
      </w:r>
      <w:r>
        <w:rPr>
          <w:rFonts w:eastAsia="仿宋_GB2312"/>
          <w:sz w:val="32"/>
          <w:szCs w:val="32"/>
        </w:rPr>
        <w:t>发出纠正违法通知书</w:t>
      </w:r>
      <w:r>
        <w:rPr>
          <w:rFonts w:hint="eastAsia" w:ascii="Times New Roman" w:hAnsi="Times New Roman" w:eastAsia="仿宋_GB2312" w:cs="Times New Roman"/>
          <w:sz w:val="32"/>
          <w:szCs w:val="32"/>
        </w:rPr>
        <w:t>37</w:t>
      </w:r>
      <w:r>
        <w:rPr>
          <w:rFonts w:eastAsia="仿宋_GB2312"/>
          <w:sz w:val="32"/>
          <w:szCs w:val="32"/>
        </w:rPr>
        <w:t>份</w:t>
      </w:r>
      <w:r>
        <w:rPr>
          <w:rFonts w:hint="eastAsia" w:eastAsia="仿宋_GB2312"/>
          <w:sz w:val="32"/>
          <w:szCs w:val="32"/>
        </w:rPr>
        <w:t>，制发检察建议</w:t>
      </w:r>
      <w:r>
        <w:rPr>
          <w:rFonts w:hint="eastAsia" w:ascii="Times New Roman" w:hAnsi="Times New Roman" w:eastAsia="仿宋_GB2312" w:cs="Times New Roman"/>
          <w:sz w:val="32"/>
          <w:szCs w:val="32"/>
        </w:rPr>
        <w:t>5</w:t>
      </w:r>
      <w:r>
        <w:rPr>
          <w:rFonts w:hint="eastAsia" w:eastAsia="仿宋_GB2312"/>
          <w:sz w:val="32"/>
          <w:szCs w:val="32"/>
        </w:rPr>
        <w:t>份</w:t>
      </w:r>
      <w:r>
        <w:rPr>
          <w:rFonts w:eastAsia="仿宋_GB2312"/>
          <w:sz w:val="32"/>
          <w:szCs w:val="32"/>
        </w:rPr>
        <w:t>，采纳率</w:t>
      </w:r>
      <w:r>
        <w:rPr>
          <w:rFonts w:hint="eastAsia" w:ascii="Times New Roman" w:hAnsi="Times New Roman" w:eastAsia="仿宋_GB2312" w:cs="Times New Roman"/>
          <w:sz w:val="32"/>
          <w:szCs w:val="32"/>
        </w:rPr>
        <w:t>100%</w:t>
      </w:r>
      <w:r>
        <w:rPr>
          <w:rFonts w:hint="eastAsia" w:eastAsia="仿宋_GB2312"/>
          <w:sz w:val="32"/>
          <w:szCs w:val="32"/>
        </w:rPr>
        <w:t>。</w:t>
      </w:r>
    </w:p>
    <w:p w14:paraId="7C66B3ED">
      <w:pPr>
        <w:keepNext w:val="0"/>
        <w:keepLines w:val="0"/>
        <w:pageBreakBefore w:val="0"/>
        <w:kinsoku/>
        <w:wordWrap/>
        <w:overflowPunct/>
        <w:topLinePunct w:val="0"/>
        <w:autoSpaceDE/>
        <w:autoSpaceDN/>
        <w:bidi w:val="0"/>
        <w:spacing w:line="560" w:lineRule="exact"/>
        <w:ind w:left="0" w:leftChars="0" w:firstLine="640" w:firstLineChars="200"/>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lang w:val="en-US" w:eastAsia="zh-CN"/>
        </w:rPr>
        <w:t>六是</w:t>
      </w:r>
      <w:r>
        <w:rPr>
          <w:rFonts w:hint="eastAsia" w:ascii="Times New Roman" w:hAnsi="Times New Roman" w:eastAsia="仿宋_GB2312" w:cs="Times New Roman"/>
          <w:sz w:val="32"/>
          <w:szCs w:val="32"/>
        </w:rPr>
        <w:t>持续深化民事检察多元监督。办理生效裁判监督案件16件，提出再审检察建议2份；办理民事审判程序、民事执行活动中违法行为监督案件24件，提出检察建议19件，均被采纳。坚持“监督与息诉并重”，推动民事监督案件矛盾实质性化解，促成当事人和解或撤回监督申请4件。依法履行支持起诉职能，办理劳动报酬、赡养类民事支持起诉案件28件，发出支持起诉书11份。加强与县人社部门合作，创新“人民检察+劳动监察”合力护薪新模式，为辖区农民工追回薪酬80余万元。</w:t>
      </w:r>
    </w:p>
    <w:p w14:paraId="237EE75B">
      <w:pPr>
        <w:keepNext w:val="0"/>
        <w:keepLines w:val="0"/>
        <w:pageBreakBefore w:val="0"/>
        <w:kinsoku/>
        <w:wordWrap/>
        <w:overflowPunct/>
        <w:topLinePunct w:val="0"/>
        <w:autoSpaceDE/>
        <w:autoSpaceDN/>
        <w:bidi w:val="0"/>
        <w:spacing w:line="560" w:lineRule="exact"/>
        <w:ind w:left="0" w:leftChars="0" w:firstLine="640" w:firstLineChars="200"/>
        <w:rPr>
          <w:rFonts w:ascii="仿宋_GB2312" w:hAnsi="仿宋_GB2312" w:eastAsia="仿宋_GB2312" w:cs="仿宋_GB2312"/>
          <w:szCs w:val="32"/>
        </w:rPr>
      </w:pPr>
      <w:r>
        <w:rPr>
          <w:rFonts w:hint="eastAsia" w:ascii="Times New Roman" w:hAnsi="Times New Roman" w:eastAsia="仿宋_GB2312" w:cs="Times New Roman"/>
          <w:sz w:val="32"/>
          <w:szCs w:val="32"/>
          <w:lang w:val="en-US" w:eastAsia="zh-CN"/>
        </w:rPr>
        <w:t>七是</w:t>
      </w:r>
      <w:r>
        <w:rPr>
          <w:rFonts w:hint="eastAsia" w:ascii="Times New Roman" w:hAnsi="Times New Roman" w:eastAsia="仿宋_GB2312" w:cs="Times New Roman"/>
          <w:sz w:val="32"/>
          <w:szCs w:val="32"/>
        </w:rPr>
        <w:t>持续抓实行政检察双重职责。</w:t>
      </w:r>
      <w:r>
        <w:rPr>
          <w:rFonts w:hint="eastAsia" w:ascii="仿宋_GB2312" w:hAnsi="仿宋_GB2312" w:eastAsia="仿宋_GB2312" w:cs="仿宋_GB2312"/>
          <w:sz w:val="32"/>
          <w:szCs w:val="32"/>
        </w:rPr>
        <w:t>办理行政检察监督案件</w:t>
      </w:r>
      <w:r>
        <w:rPr>
          <w:rFonts w:hint="eastAsia" w:ascii="Times New Roman" w:hAnsi="Times New Roman" w:eastAsia="仿宋_GB2312" w:cs="Times New Roman"/>
          <w:sz w:val="32"/>
          <w:szCs w:val="32"/>
        </w:rPr>
        <w:t>28件。</w:t>
      </w:r>
      <w:r>
        <w:rPr>
          <w:rFonts w:hint="eastAsia" w:ascii="仿宋_GB2312" w:hAnsi="仿宋_GB2312" w:eastAsia="仿宋_GB2312" w:cs="仿宋_GB2312"/>
          <w:sz w:val="32"/>
          <w:szCs w:val="32"/>
        </w:rPr>
        <w:t>通过督促纠正违法、推动和解等举措实质性化解行政争议</w:t>
      </w:r>
      <w:r>
        <w:rPr>
          <w:rFonts w:hint="eastAsia" w:ascii="Times New Roman" w:hAnsi="Times New Roman" w:eastAsia="仿宋_GB2312" w:cs="Times New Roman"/>
          <w:sz w:val="32"/>
          <w:szCs w:val="32"/>
        </w:rPr>
        <w:t>案件15件。</w:t>
      </w:r>
      <w:r>
        <w:rPr>
          <w:rFonts w:hint="eastAsia" w:ascii="仿宋_GB2312" w:hAnsi="仿宋_GB2312" w:eastAsia="仿宋_GB2312" w:cs="仿宋_GB2312"/>
          <w:sz w:val="32"/>
          <w:szCs w:val="32"/>
        </w:rPr>
        <w:t>积极推进行刑双向衔接工作，对</w:t>
      </w:r>
      <w:r>
        <w:rPr>
          <w:rFonts w:hint="eastAsia" w:ascii="Times New Roman" w:hAnsi="Times New Roman" w:eastAsia="仿宋_GB2312" w:cs="Times New Roman"/>
          <w:sz w:val="32"/>
          <w:szCs w:val="32"/>
        </w:rPr>
        <w:t>3</w:t>
      </w:r>
      <w:r>
        <w:rPr>
          <w:rFonts w:hint="eastAsia" w:ascii="仿宋_GB2312" w:hAnsi="仿宋_GB2312" w:eastAsia="仿宋_GB2312" w:cs="仿宋_GB2312"/>
          <w:sz w:val="32"/>
          <w:szCs w:val="32"/>
        </w:rPr>
        <w:t>件作出刑事不起诉决定案件向相关行政机关制发检察意见书，行政机关对</w:t>
      </w:r>
      <w:r>
        <w:rPr>
          <w:rFonts w:hint="eastAsia" w:ascii="Times New Roman" w:hAnsi="Times New Roman" w:eastAsia="仿宋_GB2312" w:cs="Times New Roman"/>
          <w:sz w:val="32"/>
          <w:szCs w:val="32"/>
        </w:rPr>
        <w:t>4</w:t>
      </w:r>
      <w:r>
        <w:rPr>
          <w:rFonts w:hint="eastAsia" w:ascii="仿宋_GB2312" w:hAnsi="仿宋_GB2312" w:eastAsia="仿宋_GB2312" w:cs="仿宋_GB2312"/>
          <w:sz w:val="32"/>
          <w:szCs w:val="32"/>
        </w:rPr>
        <w:t>名被不起诉人作出行政处罚，充分发挥行政检察促进公正司法和依法行政的双重作用。</w:t>
      </w:r>
    </w:p>
    <w:p w14:paraId="2E74B41D">
      <w:pPr>
        <w:pStyle w:val="6"/>
        <w:keepNext w:val="0"/>
        <w:keepLines w:val="0"/>
        <w:pageBreakBefore w:val="0"/>
        <w:kinsoku/>
        <w:wordWrap/>
        <w:overflowPunct/>
        <w:topLinePunct w:val="0"/>
        <w:autoSpaceDE/>
        <w:autoSpaceDN/>
        <w:bidi w:val="0"/>
        <w:spacing w:after="0" w:line="560" w:lineRule="exact"/>
        <w:ind w:left="0" w:leftChars="0" w:firstLine="640" w:firstLineChars="200"/>
      </w:pPr>
      <w:r>
        <w:rPr>
          <w:rFonts w:hint="eastAsia" w:ascii="Times New Roman" w:hAnsi="Times New Roman" w:eastAsia="仿宋_GB2312" w:cs="Times New Roman"/>
          <w:sz w:val="32"/>
          <w:szCs w:val="32"/>
          <w:lang w:val="en-US" w:eastAsia="zh-CN"/>
        </w:rPr>
        <w:t>八是</w:t>
      </w:r>
      <w:r>
        <w:rPr>
          <w:rFonts w:hint="eastAsia" w:ascii="Times New Roman" w:hAnsi="Times New Roman" w:eastAsia="仿宋_GB2312" w:cs="Times New Roman"/>
          <w:sz w:val="32"/>
          <w:szCs w:val="32"/>
        </w:rPr>
        <w:t>持续加强公益诉讼检察保护。</w:t>
      </w:r>
      <w:r>
        <w:rPr>
          <w:rFonts w:ascii="Times New Roman" w:hAnsi="Times New Roman" w:eastAsia="仿宋_GB2312" w:cs="Times New Roman"/>
          <w:sz w:val="32"/>
          <w:szCs w:val="32"/>
        </w:rPr>
        <w:t>围绕县域经济发展大局和群众反映强烈的民生民利问题，办理公益诉讼案件</w:t>
      </w:r>
      <w:r>
        <w:rPr>
          <w:rFonts w:hint="eastAsia" w:ascii="Times New Roman" w:hAnsi="Times New Roman" w:eastAsia="仿宋_GB2312" w:cs="Times New Roman"/>
          <w:sz w:val="32"/>
          <w:szCs w:val="32"/>
        </w:rPr>
        <w:t>45</w:t>
      </w:r>
      <w:r>
        <w:rPr>
          <w:rFonts w:ascii="Times New Roman" w:hAnsi="Times New Roman" w:eastAsia="仿宋_GB2312" w:cs="Times New Roman"/>
          <w:sz w:val="32"/>
          <w:szCs w:val="32"/>
        </w:rPr>
        <w:t>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办理30余户中小微企业合规用水公益诉讼案，助推行业主管部门靠前服务、行政执法机关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柔性执法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、政务服务高效便捷。</w:t>
      </w:r>
      <w:r>
        <w:rPr>
          <w:rFonts w:hint="eastAsia" w:ascii="Times New Roman" w:hAnsi="Times New Roman" w:eastAsia="仿宋_GB2312" w:cs="Times New Roman"/>
          <w:sz w:val="32"/>
          <w:szCs w:val="32"/>
        </w:rPr>
        <w:t>全面</w:t>
      </w:r>
      <w:r>
        <w:rPr>
          <w:rStyle w:val="16"/>
          <w:rFonts w:hint="eastAsia" w:ascii="仿宋_GB2312" w:hAnsi="仿宋_GB2312" w:eastAsia="仿宋_GB2312" w:cs="仿宋_GB2312"/>
          <w:b w:val="0"/>
          <w:bCs/>
          <w:sz w:val="32"/>
          <w:szCs w:val="32"/>
          <w:shd w:val="clear" w:color="auto" w:fill="FFFFFF"/>
        </w:rPr>
        <w:t>落实自贡市人大制定的地方性法规，</w:t>
      </w:r>
      <w:r>
        <w:rPr>
          <w:rFonts w:ascii="Times New Roman" w:hAnsi="Times New Roman" w:eastAsia="仿宋_GB2312" w:cs="Times New Roman"/>
          <w:kern w:val="0"/>
          <w:sz w:val="32"/>
          <w:szCs w:val="32"/>
        </w:rPr>
        <w:t>开展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益＋</w:t>
      </w:r>
      <w:r>
        <w:rPr>
          <w:rFonts w:hint="eastAsia" w:ascii="Times New Roman" w:hAnsi="Times New Roman" w:eastAsia="仿宋_GB2312" w:cs="Times New Roman"/>
          <w:sz w:val="32"/>
          <w:szCs w:val="32"/>
        </w:rPr>
        <w:t>”</w:t>
      </w:r>
      <w:r>
        <w:rPr>
          <w:rFonts w:ascii="Times New Roman" w:hAnsi="Times New Roman" w:eastAsia="仿宋_GB2312" w:cs="Times New Roman"/>
          <w:kern w:val="0"/>
          <w:sz w:val="32"/>
          <w:szCs w:val="32"/>
        </w:rPr>
        <w:t>公益诉讼专项监督活动</w:t>
      </w:r>
      <w:r>
        <w:rPr>
          <w:rFonts w:hint="eastAsia" w:ascii="Times New Roman" w:hAnsi="Times New Roman" w:eastAsia="仿宋_GB2312" w:cs="Times New Roman"/>
          <w:kern w:val="0"/>
          <w:sz w:val="32"/>
          <w:szCs w:val="32"/>
        </w:rPr>
        <w:t>，</w:t>
      </w:r>
      <w:r>
        <w:rPr>
          <w:rFonts w:hint="eastAsia" w:ascii="Times New Roman" w:hAnsi="Times New Roman" w:eastAsia="仿宋_GB2312" w:cs="Times New Roman"/>
          <w:sz w:val="32"/>
          <w:szCs w:val="32"/>
        </w:rPr>
        <w:t>办理</w:t>
      </w:r>
      <w:r>
        <w:rPr>
          <w:rFonts w:ascii="Times New Roman" w:hAnsi="Times New Roman" w:eastAsia="仿宋_GB2312" w:cs="Times New Roman"/>
          <w:sz w:val="32"/>
          <w:szCs w:val="32"/>
        </w:rPr>
        <w:t>固废环境污染</w:t>
      </w:r>
      <w:r>
        <w:rPr>
          <w:rFonts w:hint="eastAsia" w:ascii="Times New Roman" w:hAnsi="Times New Roman" w:eastAsia="仿宋_GB2312" w:cs="Times New Roman"/>
          <w:sz w:val="32"/>
          <w:szCs w:val="32"/>
        </w:rPr>
        <w:t>、饮用水源地保护、</w:t>
      </w:r>
      <w:r>
        <w:rPr>
          <w:rFonts w:ascii="Times New Roman" w:hAnsi="Times New Roman" w:eastAsia="仿宋_GB2312" w:cs="Times New Roman"/>
          <w:sz w:val="32"/>
          <w:szCs w:val="32"/>
        </w:rPr>
        <w:t>个人信息保护</w:t>
      </w:r>
      <w:r>
        <w:rPr>
          <w:rFonts w:hint="eastAsia" w:ascii="Times New Roman" w:hAnsi="Times New Roman" w:eastAsia="仿宋_GB2312" w:cs="Times New Roman"/>
          <w:sz w:val="32"/>
          <w:szCs w:val="32"/>
        </w:rPr>
        <w:t>等行政公益诉讼案件25</w:t>
      </w:r>
      <w:r>
        <w:rPr>
          <w:rFonts w:ascii="Times New Roman" w:hAnsi="Times New Roman" w:eastAsia="仿宋_GB2312" w:cs="Times New Roman"/>
          <w:sz w:val="32"/>
          <w:szCs w:val="32"/>
        </w:rPr>
        <w:t>件，</w:t>
      </w:r>
      <w:r>
        <w:rPr>
          <w:rFonts w:hint="eastAsia" w:ascii="Times New Roman" w:hAnsi="Times New Roman" w:eastAsia="仿宋_GB2312" w:cs="Times New Roman"/>
          <w:sz w:val="32"/>
          <w:szCs w:val="32"/>
        </w:rPr>
        <w:t>发出诉前检察建议25份，采纳率100%</w:t>
      </w:r>
      <w:r>
        <w:rPr>
          <w:rFonts w:hint="eastAsia" w:ascii="Times New Roman" w:hAnsi="Times New Roman" w:eastAsia="仿宋_GB2312" w:cs="Times New Roman"/>
          <w:sz w:val="32"/>
          <w:szCs w:val="32"/>
          <w:lang w:val="zh-CN"/>
        </w:rPr>
        <w:t>。</w:t>
      </w:r>
    </w:p>
    <w:p w14:paraId="04424386">
      <w:pPr>
        <w:keepNext w:val="0"/>
        <w:keepLines w:val="0"/>
        <w:pageBreakBefore w:val="0"/>
        <w:widowControl/>
        <w:kinsoku/>
        <w:wordWrap/>
        <w:overflowPunct/>
        <w:topLinePunct w:val="0"/>
        <w:autoSpaceDE/>
        <w:autoSpaceDN/>
        <w:bidi w:val="0"/>
        <w:adjustRightInd w:val="0"/>
        <w:snapToGrid w:val="0"/>
        <w:spacing w:line="560" w:lineRule="exact"/>
        <w:ind w:left="0" w:leftChars="0" w:firstLine="643" w:firstLineChars="200"/>
        <w:contextualSpacing/>
        <w:jc w:val="both"/>
        <w:textAlignment w:val="auto"/>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（三）结果应用情况</w:t>
      </w:r>
    </w:p>
    <w:p w14:paraId="44E2BBEC">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0" w:firstLineChars="200"/>
        <w:jc w:val="both"/>
        <w:textAlignment w:val="auto"/>
        <w:rPr>
          <w:rFonts w:hint="default" w:ascii="仿宋_GB2312" w:cs="Times New Roman"/>
          <w:kern w:val="2"/>
          <w:sz w:val="32"/>
          <w:szCs w:val="32"/>
          <w:highlight w:val="none"/>
          <w:lang w:val="en-US" w:eastAsia="zh-CN" w:bidi="ar-SA"/>
        </w:rPr>
      </w:pPr>
      <w:r>
        <w:rPr>
          <w:rFonts w:hint="eastAsia" w:ascii="仿宋_GB2312" w:cs="Times New Roman"/>
          <w:kern w:val="2"/>
          <w:sz w:val="32"/>
          <w:szCs w:val="32"/>
          <w:highlight w:val="none"/>
          <w:lang w:val="en-US" w:eastAsia="zh-CN" w:bidi="ar-SA"/>
        </w:rPr>
        <w:t>加强部门整体绩效运行自评在单位内部财务管理、政府采购、车辆管理、食堂内部管理、国有资产管理、内控制度等全方位应用，并将自评结果按财政要求合理合规进行公开，针对自评过程中发现的问题，及时进行整改，根据自评结果和整改结果科学合理的用于开展下一年度预算执行和监控工作。</w:t>
      </w:r>
    </w:p>
    <w:p w14:paraId="20BDAD61">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firstLine="643" w:firstLineChars="200"/>
        <w:contextualSpacing/>
        <w:jc w:val="both"/>
        <w:textAlignment w:val="auto"/>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w:t>
      </w:r>
      <w:r>
        <w:rPr>
          <w:rFonts w:hint="default" w:ascii="Times New Roman" w:hAnsi="Times New Roman" w:eastAsia="楷体_GB2312" w:cs="Times New Roman"/>
          <w:b/>
          <w:bCs/>
          <w:color w:val="000000"/>
          <w:kern w:val="0"/>
          <w:sz w:val="32"/>
          <w:szCs w:val="32"/>
          <w:highlight w:val="none"/>
          <w:shd w:val="clear" w:color="auto" w:fill="FFFFFF"/>
          <w:lang w:val="en-US" w:eastAsia="zh-CN"/>
        </w:rPr>
        <w:t>四</w:t>
      </w:r>
      <w:r>
        <w:rPr>
          <w:rFonts w:hint="default" w:ascii="Times New Roman" w:hAnsi="Times New Roman" w:eastAsia="楷体_GB2312" w:cs="Times New Roman"/>
          <w:b/>
          <w:bCs/>
          <w:color w:val="000000"/>
          <w:kern w:val="0"/>
          <w:sz w:val="32"/>
          <w:szCs w:val="32"/>
          <w:highlight w:val="none"/>
          <w:shd w:val="clear" w:color="auto" w:fill="FFFFFF"/>
          <w:lang w:val="zh-CN"/>
        </w:rPr>
        <w:t>）自评质量</w:t>
      </w:r>
    </w:p>
    <w:p w14:paraId="5FB970C0">
      <w:pPr>
        <w:keepNext w:val="0"/>
        <w:keepLines w:val="0"/>
        <w:pageBreakBefore w:val="0"/>
        <w:widowControl w:val="0"/>
        <w:numPr>
          <w:ilvl w:val="0"/>
          <w:numId w:val="0"/>
        </w:numPr>
        <w:kinsoku/>
        <w:wordWrap/>
        <w:overflowPunct/>
        <w:topLinePunct w:val="0"/>
        <w:autoSpaceDE/>
        <w:autoSpaceDN/>
        <w:bidi w:val="0"/>
        <w:spacing w:line="560" w:lineRule="exact"/>
        <w:ind w:left="0" w:lef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eastAsia" w:ascii="仿宋_GB2312" w:cs="Times New Roman"/>
          <w:kern w:val="2"/>
          <w:sz w:val="32"/>
          <w:szCs w:val="32"/>
          <w:highlight w:val="none"/>
          <w:lang w:val="en-US" w:eastAsia="zh-CN" w:bidi="ar-SA"/>
        </w:rPr>
        <w:t>我院对照市级部门整体绩效评价指标体系中各项指标要求，逐条进行绩效运行自评工作，保质保量完成此次绩效运行自评工作，确保了此次我院整体支出绩效运行自评结果的科学性</w:t>
      </w:r>
      <w:r>
        <w:rPr>
          <w:rFonts w:hint="default" w:ascii="Times New Roman" w:hAnsi="Times New Roman" w:eastAsia="仿宋_GB2312" w:cs="Times New Roman"/>
          <w:kern w:val="2"/>
          <w:sz w:val="32"/>
          <w:szCs w:val="32"/>
          <w:highlight w:val="none"/>
          <w:lang w:val="en-US" w:eastAsia="zh-CN" w:bidi="ar-SA"/>
        </w:rPr>
        <w:t>。</w:t>
      </w:r>
    </w:p>
    <w:p w14:paraId="128C9983">
      <w:pPr>
        <w:keepNext w:val="0"/>
        <w:keepLines w:val="0"/>
        <w:pageBreakBefore w:val="0"/>
        <w:widowControl/>
        <w:kinsoku/>
        <w:wordWrap/>
        <w:overflowPunct/>
        <w:topLinePunct w:val="0"/>
        <w:autoSpaceDE/>
        <w:autoSpaceDN/>
        <w:bidi w:val="0"/>
        <w:adjustRightInd w:val="0"/>
        <w:snapToGrid w:val="0"/>
        <w:spacing w:line="560" w:lineRule="exact"/>
        <w:ind w:left="0" w:leftChars="0" w:firstLine="640" w:firstLineChars="200"/>
        <w:contextualSpacing/>
        <w:jc w:val="both"/>
        <w:textAlignment w:val="auto"/>
        <w:rPr>
          <w:rFonts w:hint="default" w:ascii="Times New Roman" w:hAnsi="Times New Roman" w:eastAsia="黑体" w:cs="Times New Roman"/>
          <w:color w:val="000000"/>
          <w:kern w:val="0"/>
          <w:sz w:val="32"/>
          <w:szCs w:val="32"/>
          <w:highlight w:val="none"/>
          <w:shd w:val="clear" w:color="auto" w:fill="FFFFFF"/>
        </w:rPr>
      </w:pPr>
      <w:r>
        <w:rPr>
          <w:rFonts w:hint="default" w:ascii="Times New Roman" w:hAnsi="Times New Roman" w:eastAsia="黑体" w:cs="Times New Roman"/>
          <w:color w:val="000000"/>
          <w:kern w:val="0"/>
          <w:sz w:val="32"/>
          <w:szCs w:val="32"/>
          <w:highlight w:val="none"/>
          <w:shd w:val="clear" w:color="auto" w:fill="FFFFFF"/>
        </w:rPr>
        <w:t>四、评价结论及建议</w:t>
      </w:r>
    </w:p>
    <w:p w14:paraId="24512A70">
      <w:pPr>
        <w:keepNext w:val="0"/>
        <w:keepLines w:val="0"/>
        <w:pageBreakBefore w:val="0"/>
        <w:widowControl/>
        <w:kinsoku/>
        <w:wordWrap/>
        <w:overflowPunct/>
        <w:topLinePunct w:val="0"/>
        <w:autoSpaceDE/>
        <w:autoSpaceDN/>
        <w:bidi w:val="0"/>
        <w:adjustRightInd w:val="0"/>
        <w:snapToGrid w:val="0"/>
        <w:spacing w:line="560" w:lineRule="exact"/>
        <w:ind w:left="0" w:leftChars="0" w:firstLine="643" w:firstLineChars="200"/>
        <w:contextualSpacing/>
        <w:jc w:val="both"/>
        <w:textAlignment w:val="auto"/>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（一）评价结论</w:t>
      </w:r>
    </w:p>
    <w:p w14:paraId="36751B8F">
      <w:pPr>
        <w:pStyle w:val="2"/>
        <w:keepNext w:val="0"/>
        <w:keepLines w:val="0"/>
        <w:pageBreakBefore w:val="0"/>
        <w:kinsoku/>
        <w:wordWrap/>
        <w:overflowPunct/>
        <w:topLinePunct w:val="0"/>
        <w:autoSpaceDE/>
        <w:autoSpaceDN/>
        <w:bidi w:val="0"/>
        <w:spacing w:line="560" w:lineRule="exact"/>
        <w:ind w:left="0" w:leftChars="0"/>
        <w:textAlignment w:val="auto"/>
        <w:rPr>
          <w:rFonts w:hint="default"/>
          <w:lang w:val="zh-CN"/>
        </w:rPr>
      </w:pPr>
      <w:r>
        <w:rPr>
          <w:rFonts w:hint="eastAsia"/>
          <w:lang w:val="en-US" w:eastAsia="zh-CN"/>
        </w:rPr>
        <w:t>我单位认真开展自评工作，自评得分95.5分。</w:t>
      </w:r>
    </w:p>
    <w:p w14:paraId="2AEA3947">
      <w:pPr>
        <w:keepNext w:val="0"/>
        <w:keepLines w:val="0"/>
        <w:pageBreakBefore w:val="0"/>
        <w:widowControl/>
        <w:numPr>
          <w:ilvl w:val="0"/>
          <w:numId w:val="4"/>
        </w:numPr>
        <w:kinsoku/>
        <w:wordWrap/>
        <w:overflowPunct/>
        <w:topLinePunct w:val="0"/>
        <w:autoSpaceDE/>
        <w:autoSpaceDN/>
        <w:bidi w:val="0"/>
        <w:adjustRightInd w:val="0"/>
        <w:snapToGrid w:val="0"/>
        <w:spacing w:line="560" w:lineRule="exact"/>
        <w:ind w:left="0" w:leftChars="0" w:firstLine="643" w:firstLineChars="200"/>
        <w:contextualSpacing/>
        <w:jc w:val="both"/>
        <w:textAlignment w:val="auto"/>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存在问题</w:t>
      </w:r>
    </w:p>
    <w:p w14:paraId="2D9209B7">
      <w:pPr>
        <w:pStyle w:val="2"/>
        <w:keepNext w:val="0"/>
        <w:keepLines w:val="0"/>
        <w:pageBreakBefore w:val="0"/>
        <w:numPr>
          <w:ilvl w:val="0"/>
          <w:numId w:val="0"/>
        </w:numPr>
        <w:kinsoku/>
        <w:wordWrap/>
        <w:overflowPunct/>
        <w:topLinePunct w:val="0"/>
        <w:autoSpaceDE/>
        <w:autoSpaceDN/>
        <w:bidi w:val="0"/>
        <w:spacing w:line="560" w:lineRule="exact"/>
        <w:ind w:left="0" w:leftChars="0" w:firstLine="640" w:firstLineChars="200"/>
        <w:textAlignment w:val="auto"/>
        <w:rPr>
          <w:rFonts w:hint="default"/>
          <w:lang w:val="zh-CN"/>
        </w:rPr>
      </w:pPr>
      <w:r>
        <w:rPr>
          <w:rFonts w:hint="eastAsia" w:ascii="仿宋_GB2312" w:hAnsi="仿宋" w:eastAsia="仿宋_GB2312"/>
          <w:sz w:val="32"/>
          <w:szCs w:val="32"/>
        </w:rPr>
        <w:t>预算编制</w:t>
      </w:r>
      <w:r>
        <w:rPr>
          <w:rFonts w:hint="eastAsia" w:ascii="仿宋_GB2312" w:hAnsi="仿宋" w:eastAsia="仿宋_GB2312"/>
          <w:sz w:val="32"/>
          <w:szCs w:val="32"/>
          <w:lang w:val="en-US" w:eastAsia="zh-CN"/>
        </w:rPr>
        <w:t>时部分预算功能科目与实际有所出入，原因为部分支出功能科目在年中测算会有政策调整</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预算执行过程中司法救助金、转移支付资金</w:t>
      </w:r>
      <w:r>
        <w:rPr>
          <w:rFonts w:hint="eastAsia" w:ascii="仿宋_GB2312" w:hAnsi="仿宋_GB2312" w:eastAsia="仿宋_GB2312" w:cs="仿宋_GB2312"/>
          <w:sz w:val="32"/>
          <w:szCs w:val="32"/>
        </w:rPr>
        <w:t>执行滞后，</w:t>
      </w:r>
      <w:r>
        <w:rPr>
          <w:rFonts w:hint="eastAsia" w:ascii="仿宋_GB2312" w:hAnsi="仿宋_GB2312" w:eastAsia="仿宋_GB2312" w:cs="仿宋_GB2312"/>
          <w:sz w:val="32"/>
          <w:szCs w:val="32"/>
          <w:lang w:val="en-US" w:eastAsia="zh-CN"/>
        </w:rPr>
        <w:t>原</w:t>
      </w:r>
      <w:r>
        <w:rPr>
          <w:rFonts w:hint="eastAsia" w:ascii="仿宋_GB2312" w:hAnsi="仿宋_GB2312" w:eastAsia="仿宋_GB2312" w:cs="仿宋_GB2312"/>
          <w:sz w:val="32"/>
          <w:szCs w:val="32"/>
        </w:rPr>
        <w:t>因</w:t>
      </w:r>
      <w:r>
        <w:rPr>
          <w:rFonts w:hint="eastAsia" w:ascii="仿宋_GB2312" w:hAnsi="仿宋_GB2312" w:eastAsia="仿宋_GB2312" w:cs="仿宋_GB2312"/>
          <w:sz w:val="32"/>
          <w:szCs w:val="32"/>
          <w:lang w:val="en-US" w:eastAsia="zh-CN"/>
        </w:rPr>
        <w:t>为上述款项</w:t>
      </w:r>
      <w:r>
        <w:rPr>
          <w:rFonts w:hint="eastAsia" w:ascii="仿宋_GB2312" w:hAnsi="仿宋_GB2312" w:eastAsia="仿宋_GB2312" w:cs="仿宋_GB2312"/>
          <w:sz w:val="32"/>
          <w:szCs w:val="32"/>
        </w:rPr>
        <w:t>只能用于检察</w:t>
      </w:r>
      <w:r>
        <w:rPr>
          <w:rFonts w:hint="eastAsia" w:ascii="仿宋_GB2312" w:hAnsi="仿宋_GB2312" w:eastAsia="仿宋_GB2312" w:cs="仿宋_GB2312"/>
          <w:sz w:val="32"/>
          <w:szCs w:val="32"/>
          <w:lang w:val="en-US" w:eastAsia="zh-CN"/>
        </w:rPr>
        <w:t>办案相关</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且司法救助金必须专款专用</w:t>
      </w:r>
      <w:r>
        <w:rPr>
          <w:rFonts w:hint="eastAsia" w:ascii="仿宋_GB2312" w:hAnsi="仿宋" w:eastAsia="仿宋_GB2312"/>
          <w:sz w:val="32"/>
          <w:szCs w:val="32"/>
        </w:rPr>
        <w:t>。</w:t>
      </w:r>
      <w:r>
        <w:rPr>
          <w:rFonts w:hint="eastAsia" w:ascii="仿宋_GB2312" w:hAnsi="仿宋" w:eastAsia="仿宋_GB2312"/>
          <w:sz w:val="32"/>
          <w:szCs w:val="32"/>
          <w:lang w:val="en-US" w:eastAsia="zh-CN"/>
        </w:rPr>
        <w:t>在今后的预算执行工作中将进一步</w:t>
      </w:r>
      <w:r>
        <w:rPr>
          <w:rFonts w:hint="eastAsia" w:ascii="仿宋_GB2312" w:hAnsi="仿宋" w:eastAsia="仿宋_GB2312"/>
          <w:sz w:val="32"/>
          <w:szCs w:val="32"/>
        </w:rPr>
        <w:t>严格监控预算资金的使用状况，确保预算项目的</w:t>
      </w:r>
      <w:r>
        <w:rPr>
          <w:rFonts w:hint="eastAsia" w:ascii="仿宋_GB2312" w:hAnsi="仿宋" w:eastAsia="仿宋_GB2312"/>
          <w:sz w:val="32"/>
          <w:szCs w:val="32"/>
          <w:lang w:val="en-US" w:eastAsia="zh-CN"/>
        </w:rPr>
        <w:t>预算执行力度达到财政刚性需求</w:t>
      </w:r>
      <w:r>
        <w:rPr>
          <w:rFonts w:hint="eastAsia" w:ascii="仿宋_GB2312" w:hAnsi="仿宋" w:eastAsia="仿宋_GB2312"/>
          <w:sz w:val="32"/>
          <w:szCs w:val="32"/>
          <w:lang w:eastAsia="zh-CN"/>
        </w:rPr>
        <w:t>。</w:t>
      </w:r>
    </w:p>
    <w:p w14:paraId="2DCDA991">
      <w:pPr>
        <w:keepNext w:val="0"/>
        <w:keepLines w:val="0"/>
        <w:pageBreakBefore w:val="0"/>
        <w:widowControl/>
        <w:numPr>
          <w:ilvl w:val="0"/>
          <w:numId w:val="4"/>
        </w:numPr>
        <w:kinsoku/>
        <w:wordWrap/>
        <w:overflowPunct/>
        <w:topLinePunct w:val="0"/>
        <w:autoSpaceDE/>
        <w:autoSpaceDN/>
        <w:bidi w:val="0"/>
        <w:adjustRightInd w:val="0"/>
        <w:snapToGrid w:val="0"/>
        <w:spacing w:line="560" w:lineRule="exact"/>
        <w:ind w:left="0" w:leftChars="0" w:firstLine="643" w:firstLineChars="200"/>
        <w:contextualSpacing/>
        <w:jc w:val="both"/>
        <w:textAlignment w:val="auto"/>
        <w:rPr>
          <w:rFonts w:hint="default" w:ascii="Times New Roman" w:hAnsi="Times New Roman" w:eastAsia="楷体_GB2312" w:cs="Times New Roman"/>
          <w:b/>
          <w:bCs/>
          <w:color w:val="000000"/>
          <w:kern w:val="0"/>
          <w:sz w:val="32"/>
          <w:szCs w:val="32"/>
          <w:highlight w:val="none"/>
          <w:shd w:val="clear" w:color="auto" w:fill="FFFFFF"/>
          <w:lang w:val="zh-CN"/>
        </w:rPr>
      </w:pPr>
      <w:r>
        <w:rPr>
          <w:rFonts w:hint="default" w:ascii="Times New Roman" w:hAnsi="Times New Roman" w:eastAsia="楷体_GB2312" w:cs="Times New Roman"/>
          <w:b/>
          <w:bCs/>
          <w:color w:val="000000"/>
          <w:kern w:val="0"/>
          <w:sz w:val="32"/>
          <w:szCs w:val="32"/>
          <w:highlight w:val="none"/>
          <w:shd w:val="clear" w:color="auto" w:fill="FFFFFF"/>
          <w:lang w:val="zh-CN"/>
        </w:rPr>
        <w:t>改进建议</w:t>
      </w:r>
    </w:p>
    <w:p w14:paraId="070ECD98">
      <w:pPr>
        <w:keepNext w:val="0"/>
        <w:keepLines w:val="0"/>
        <w:pageBreakBefore w:val="0"/>
        <w:kinsoku/>
        <w:wordWrap/>
        <w:overflowPunct/>
        <w:topLinePunct w:val="0"/>
        <w:autoSpaceDE/>
        <w:autoSpaceDN/>
        <w:bidi w:val="0"/>
        <w:spacing w:line="560" w:lineRule="exact"/>
        <w:ind w:left="0"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加强预算管理，确保项目的科学性。在编制年度预算时，需在充分调查研究的基础上，充分论证项目的合理性、经济性、可行性及预期效果。强化预算下达、预算执行环节指标使用先后对应，为单位进行绩效目标控制管理提供基础保障，提高单位项目支出资金使用。项目实施精细化管理水平。</w:t>
      </w:r>
    </w:p>
    <w:p w14:paraId="27585ACC">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方正小标宋简体" w:hAnsi="方正小标宋简体" w:eastAsia="方正小标宋简体" w:cs="方正小标宋简体"/>
          <w:color w:val="000000"/>
          <w:kern w:val="0"/>
          <w:sz w:val="44"/>
          <w:szCs w:val="44"/>
          <w:highlight w:val="none"/>
          <w:shd w:val="clear" w:color="auto" w:fill="FFFFFF"/>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加</w:t>
      </w:r>
      <w:r>
        <w:rPr>
          <w:rFonts w:hint="eastAsia" w:ascii="仿宋_GB2312" w:hAnsi="仿宋_GB2312" w:cs="仿宋_GB2312"/>
          <w:sz w:val="32"/>
          <w:szCs w:val="32"/>
          <w:lang w:eastAsia="zh-CN"/>
        </w:rPr>
        <w:t>快预算执行</w:t>
      </w:r>
      <w:r>
        <w:rPr>
          <w:rFonts w:hint="eastAsia" w:ascii="仿宋_GB2312" w:hAnsi="仿宋_GB2312" w:eastAsia="仿宋_GB2312" w:cs="仿宋_GB2312"/>
          <w:sz w:val="32"/>
          <w:szCs w:val="32"/>
        </w:rPr>
        <w:t>，提高绩效目标管理水平。加强财务人员培训，熟练掌握预算编制</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预算执行</w:t>
      </w:r>
      <w:r>
        <w:rPr>
          <w:rFonts w:hint="eastAsia" w:ascii="仿宋_GB2312" w:hAnsi="仿宋_GB2312" w:cs="仿宋_GB2312"/>
          <w:sz w:val="32"/>
          <w:szCs w:val="32"/>
          <w:lang w:eastAsia="zh-CN"/>
        </w:rPr>
        <w:t>、调整（修改）绩效目标</w:t>
      </w:r>
      <w:r>
        <w:rPr>
          <w:rFonts w:hint="eastAsia" w:ascii="仿宋_GB2312" w:hAnsi="仿宋_GB2312" w:eastAsia="仿宋_GB2312" w:cs="仿宋_GB2312"/>
          <w:sz w:val="32"/>
          <w:szCs w:val="32"/>
        </w:rPr>
        <w:t>等各项政策，不断提高业务</w:t>
      </w:r>
      <w:r>
        <w:rPr>
          <w:rFonts w:hint="eastAsia" w:ascii="仿宋_GB2312" w:hAnsi="仿宋_GB2312" w:cs="仿宋_GB2312"/>
          <w:sz w:val="32"/>
          <w:szCs w:val="32"/>
          <w:lang w:eastAsia="zh-CN"/>
        </w:rPr>
        <w:t>执行</w:t>
      </w:r>
      <w:r>
        <w:rPr>
          <w:rFonts w:hint="eastAsia" w:ascii="仿宋_GB2312" w:hAnsi="仿宋_GB2312" w:eastAsia="仿宋_GB2312" w:cs="仿宋_GB2312"/>
          <w:sz w:val="32"/>
          <w:szCs w:val="32"/>
        </w:rPr>
        <w:t>能力，不</w:t>
      </w:r>
      <w:r>
        <w:rPr>
          <w:rFonts w:hint="eastAsia" w:ascii="仿宋_GB2312" w:hAnsi="仿宋_GB2312" w:eastAsia="仿宋_GB2312" w:cs="仿宋_GB2312"/>
          <w:sz w:val="32"/>
          <w:szCs w:val="32"/>
          <w:lang w:val="en-US" w:eastAsia="zh-CN"/>
        </w:rPr>
        <w:t>断</w:t>
      </w:r>
      <w:r>
        <w:rPr>
          <w:rFonts w:hint="eastAsia" w:ascii="仿宋_GB2312" w:hAnsi="仿宋_GB2312" w:eastAsia="仿宋_GB2312" w:cs="仿宋_GB2312"/>
          <w:sz w:val="32"/>
          <w:szCs w:val="32"/>
        </w:rPr>
        <w:t>提高绩效目标管理水平。</w:t>
      </w:r>
      <w:r>
        <w:rPr>
          <w:rFonts w:hint="eastAsia" w:ascii="方正小标宋简体" w:hAnsi="方正小标宋简体" w:eastAsia="方正小标宋简体" w:cs="方正小标宋简体"/>
          <w:color w:val="000000"/>
          <w:kern w:val="0"/>
          <w:sz w:val="44"/>
          <w:szCs w:val="44"/>
          <w:highlight w:val="none"/>
          <w:shd w:val="clear" w:color="auto" w:fill="FFFFFF"/>
          <w:lang w:val="en-US" w:eastAsia="zh-CN"/>
        </w:rPr>
        <w:br w:type="page"/>
      </w:r>
    </w:p>
    <w:p w14:paraId="436D6DEF">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jc w:val="both"/>
        <w:textAlignment w:val="auto"/>
        <w:outlineLvl w:val="9"/>
        <w:rPr>
          <w:rFonts w:hint="eastAsia" w:ascii="Times New Roman" w:hAnsi="Times New Roman" w:eastAsia="黑体" w:cs="黑体"/>
          <w:kern w:val="2"/>
          <w:sz w:val="32"/>
          <w:szCs w:val="24"/>
          <w:lang w:val="en-US" w:eastAsia="zh-CN" w:bidi="ar"/>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7B4B1427">
      <w:pPr>
        <w:keepNext w:val="0"/>
        <w:keepLines w:val="0"/>
        <w:pageBreakBefore w:val="0"/>
        <w:widowControl w:val="0"/>
        <w:suppressLineNumbers w:val="0"/>
        <w:kinsoku/>
        <w:wordWrap/>
        <w:overflowPunct/>
        <w:topLinePunct w:val="0"/>
        <w:bidi w:val="0"/>
        <w:spacing w:before="0" w:beforeAutospacing="0" w:after="0" w:afterAutospacing="0" w:line="560" w:lineRule="exact"/>
        <w:ind w:left="0" w:right="0"/>
        <w:jc w:val="both"/>
        <w:textAlignment w:val="auto"/>
        <w:outlineLvl w:val="9"/>
        <w:rPr>
          <w:rFonts w:hint="eastAsia" w:ascii="Times New Roman" w:hAnsi="Times New Roman" w:eastAsia="黑体" w:cs="黑体"/>
          <w:kern w:val="2"/>
          <w:sz w:val="32"/>
          <w:szCs w:val="24"/>
          <w:lang w:val="en-US" w:eastAsia="zh-CN" w:bidi="ar"/>
        </w:rPr>
      </w:pPr>
      <w:r>
        <w:rPr>
          <w:rFonts w:hint="eastAsia" w:ascii="Times New Roman" w:hAnsi="Times New Roman" w:eastAsia="黑体" w:cs="黑体"/>
          <w:kern w:val="2"/>
          <w:sz w:val="32"/>
          <w:szCs w:val="24"/>
          <w:lang w:val="en-US" w:eastAsia="zh-CN" w:bidi="ar"/>
        </w:rPr>
        <w:t>附件3</w:t>
      </w:r>
    </w:p>
    <w:p w14:paraId="4EF7CED7">
      <w:pPr>
        <w:keepNext w:val="0"/>
        <w:keepLines w:val="0"/>
        <w:pageBreakBefore w:val="0"/>
        <w:widowControl/>
        <w:kinsoku/>
        <w:wordWrap/>
        <w:overflowPunct/>
        <w:topLinePunct w:val="0"/>
        <w:autoSpaceDE/>
        <w:autoSpaceDN/>
        <w:bidi w:val="0"/>
        <w:adjustRightInd w:val="0"/>
        <w:snapToGrid w:val="0"/>
        <w:spacing w:line="560" w:lineRule="exact"/>
        <w:contextualSpacing/>
        <w:jc w:val="center"/>
        <w:textAlignment w:val="auto"/>
        <w:rPr>
          <w:rFonts w:hint="eastAsia" w:ascii="方正小标宋简体" w:hAnsi="方正小标宋简体" w:eastAsia="方正小标宋简体" w:cs="方正小标宋简体"/>
          <w:color w:val="000000"/>
          <w:kern w:val="0"/>
          <w:sz w:val="44"/>
          <w:szCs w:val="44"/>
          <w:highlight w:val="none"/>
          <w:shd w:val="clear" w:color="auto" w:fill="FFFFFF"/>
          <w:lang w:val="en-US" w:eastAsia="zh-CN"/>
        </w:rPr>
      </w:pPr>
      <w:r>
        <w:rPr>
          <w:rFonts w:hint="eastAsia" w:ascii="方正小标宋简体" w:hAnsi="方正小标宋简体" w:eastAsia="方正小标宋简体" w:cs="方正小标宋简体"/>
          <w:color w:val="000000"/>
          <w:kern w:val="0"/>
          <w:sz w:val="44"/>
          <w:szCs w:val="44"/>
          <w:highlight w:val="none"/>
          <w:shd w:val="clear" w:color="auto" w:fill="FFFFFF"/>
          <w:lang w:val="en-US" w:eastAsia="zh-CN"/>
        </w:rPr>
        <w:t>荣县人民检察院</w:t>
      </w:r>
    </w:p>
    <w:p w14:paraId="5A29ABE7">
      <w:pPr>
        <w:keepNext w:val="0"/>
        <w:keepLines w:val="0"/>
        <w:pageBreakBefore w:val="0"/>
        <w:widowControl/>
        <w:kinsoku/>
        <w:wordWrap/>
        <w:overflowPunct/>
        <w:topLinePunct w:val="0"/>
        <w:autoSpaceDE/>
        <w:autoSpaceDN/>
        <w:bidi w:val="0"/>
        <w:adjustRightInd w:val="0"/>
        <w:snapToGrid w:val="0"/>
        <w:spacing w:line="560" w:lineRule="exact"/>
        <w:contextualSpacing/>
        <w:jc w:val="center"/>
        <w:textAlignment w:val="auto"/>
        <w:rPr>
          <w:rFonts w:hint="eastAsia" w:ascii="方正小标宋简体" w:hAnsi="方正小标宋简体" w:eastAsia="方正小标宋简体" w:cs="方正小标宋简体"/>
          <w:color w:val="000000"/>
          <w:kern w:val="0"/>
          <w:sz w:val="44"/>
          <w:szCs w:val="44"/>
          <w:highlight w:val="none"/>
          <w:shd w:val="clear" w:color="auto" w:fill="FFFFFF"/>
          <w:lang w:val="en-US" w:eastAsia="zh-CN"/>
        </w:rPr>
      </w:pPr>
      <w:r>
        <w:rPr>
          <w:rFonts w:hint="eastAsia" w:ascii="方正小标宋简体" w:hAnsi="方正小标宋简体" w:eastAsia="方正小标宋简体" w:cs="方正小标宋简体"/>
          <w:color w:val="000000"/>
          <w:kern w:val="0"/>
          <w:sz w:val="44"/>
          <w:szCs w:val="44"/>
          <w:highlight w:val="none"/>
          <w:shd w:val="clear" w:color="auto" w:fill="FFFFFF"/>
          <w:lang w:val="en-US" w:eastAsia="zh-CN"/>
        </w:rPr>
        <w:t>部门预算项目支出绩效自评表</w:t>
      </w:r>
    </w:p>
    <w:p w14:paraId="66860E0C">
      <w:pPr>
        <w:keepNext w:val="0"/>
        <w:keepLines w:val="0"/>
        <w:pageBreakBefore w:val="0"/>
        <w:widowControl/>
        <w:kinsoku/>
        <w:wordWrap/>
        <w:overflowPunct/>
        <w:topLinePunct w:val="0"/>
        <w:autoSpaceDE/>
        <w:autoSpaceDN/>
        <w:bidi w:val="0"/>
        <w:adjustRightInd w:val="0"/>
        <w:snapToGrid w:val="0"/>
        <w:spacing w:line="560" w:lineRule="exact"/>
        <w:contextualSpacing/>
        <w:jc w:val="center"/>
        <w:textAlignment w:val="auto"/>
        <w:rPr>
          <w:rFonts w:hint="eastAsia" w:ascii="黑体" w:hAnsi="黑体" w:eastAsia="黑体" w:cs="黑体"/>
          <w:color w:val="000000"/>
          <w:kern w:val="0"/>
          <w:sz w:val="32"/>
          <w:szCs w:val="32"/>
          <w:highlight w:val="none"/>
          <w:shd w:val="clear" w:color="auto" w:fill="FFFFFF"/>
          <w:lang w:val="en-US" w:eastAsia="zh-CN"/>
        </w:rPr>
      </w:pPr>
    </w:p>
    <w:tbl>
      <w:tblPr>
        <w:tblStyle w:val="13"/>
        <w:tblW w:w="135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0"/>
        <w:gridCol w:w="2049"/>
        <w:gridCol w:w="1770"/>
        <w:gridCol w:w="1827"/>
        <w:gridCol w:w="520"/>
        <w:gridCol w:w="1662"/>
        <w:gridCol w:w="465"/>
        <w:gridCol w:w="1092"/>
        <w:gridCol w:w="506"/>
        <w:gridCol w:w="453"/>
        <w:gridCol w:w="2476"/>
      </w:tblGrid>
      <w:tr w14:paraId="1CA9F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6326" w:type="dxa"/>
            <w:gridSpan w:val="4"/>
            <w:tcBorders>
              <w:top w:val="nil"/>
              <w:left w:val="nil"/>
              <w:bottom w:val="nil"/>
              <w:right w:val="nil"/>
            </w:tcBorders>
            <w:shd w:val="clear" w:color="auto" w:fill="auto"/>
            <w:vAlign w:val="center"/>
          </w:tcPr>
          <w:p w14:paraId="30DE32A5">
            <w:pPr>
              <w:keepNext w:val="0"/>
              <w:keepLines w:val="0"/>
              <w:widowControl/>
              <w:suppressLineNumbers w:val="0"/>
              <w:jc w:val="left"/>
              <w:textAlignment w:val="center"/>
              <w:rPr>
                <w:rFonts w:ascii="宋体" w:hAnsi="宋体" w:eastAsia="宋体" w:cs="宋体"/>
                <w:i w:val="0"/>
                <w:iCs w:val="0"/>
                <w:color w:val="C0C0C0"/>
                <w:sz w:val="20"/>
                <w:szCs w:val="20"/>
                <w:u w:val="none"/>
              </w:rPr>
            </w:pPr>
            <w:bookmarkStart w:id="57" w:name="_Toc31444"/>
            <w:bookmarkStart w:id="58" w:name="_Toc15396618"/>
            <w:r>
              <w:rPr>
                <w:rFonts w:ascii="宋体" w:hAnsi="宋体" w:eastAsia="宋体" w:cs="宋体"/>
                <w:i w:val="0"/>
                <w:iCs w:val="0"/>
                <w:color w:val="C0C0C0"/>
                <w:kern w:val="0"/>
                <w:sz w:val="20"/>
                <w:szCs w:val="20"/>
                <w:u w:val="none"/>
                <w:lang w:val="en-US" w:eastAsia="zh-CN" w:bidi="ar"/>
              </w:rPr>
              <w:t>报表编号：510000_0013zp</w:t>
            </w:r>
          </w:p>
        </w:tc>
        <w:tc>
          <w:tcPr>
            <w:tcW w:w="520" w:type="dxa"/>
            <w:tcBorders>
              <w:top w:val="nil"/>
              <w:left w:val="nil"/>
              <w:bottom w:val="nil"/>
              <w:right w:val="nil"/>
            </w:tcBorders>
            <w:shd w:val="clear" w:color="auto" w:fill="auto"/>
            <w:noWrap/>
            <w:vAlign w:val="center"/>
          </w:tcPr>
          <w:p w14:paraId="24B72B56">
            <w:pPr>
              <w:rPr>
                <w:rFonts w:hint="eastAsia" w:ascii="宋体" w:hAnsi="宋体" w:eastAsia="宋体" w:cs="宋体"/>
                <w:i w:val="0"/>
                <w:iCs w:val="0"/>
                <w:color w:val="000000"/>
                <w:sz w:val="22"/>
                <w:szCs w:val="22"/>
                <w:u w:val="none"/>
              </w:rPr>
            </w:pPr>
          </w:p>
        </w:tc>
        <w:tc>
          <w:tcPr>
            <w:tcW w:w="3219" w:type="dxa"/>
            <w:gridSpan w:val="3"/>
            <w:tcBorders>
              <w:top w:val="nil"/>
              <w:left w:val="nil"/>
              <w:bottom w:val="nil"/>
              <w:right w:val="nil"/>
            </w:tcBorders>
            <w:shd w:val="clear" w:color="auto" w:fill="auto"/>
            <w:vAlign w:val="center"/>
          </w:tcPr>
          <w:p w14:paraId="3F97600A">
            <w:pPr>
              <w:rPr>
                <w:rFonts w:hint="eastAsia" w:ascii="宋体" w:hAnsi="宋体" w:eastAsia="宋体" w:cs="宋体"/>
                <w:i w:val="0"/>
                <w:iCs w:val="0"/>
                <w:color w:val="000000"/>
                <w:sz w:val="20"/>
                <w:szCs w:val="20"/>
                <w:u w:val="none"/>
              </w:rPr>
            </w:pPr>
          </w:p>
        </w:tc>
        <w:tc>
          <w:tcPr>
            <w:tcW w:w="506" w:type="dxa"/>
            <w:tcBorders>
              <w:top w:val="nil"/>
              <w:left w:val="nil"/>
              <w:bottom w:val="nil"/>
              <w:right w:val="nil"/>
            </w:tcBorders>
            <w:shd w:val="clear" w:color="auto" w:fill="auto"/>
            <w:noWrap/>
            <w:vAlign w:val="center"/>
          </w:tcPr>
          <w:p w14:paraId="3FFD1DC5">
            <w:pPr>
              <w:rPr>
                <w:rFonts w:hint="eastAsia" w:ascii="宋体" w:hAnsi="宋体" w:eastAsia="宋体" w:cs="宋体"/>
                <w:i w:val="0"/>
                <w:iCs w:val="0"/>
                <w:color w:val="000000"/>
                <w:sz w:val="22"/>
                <w:szCs w:val="22"/>
                <w:u w:val="none"/>
              </w:rPr>
            </w:pPr>
          </w:p>
        </w:tc>
        <w:tc>
          <w:tcPr>
            <w:tcW w:w="453" w:type="dxa"/>
            <w:tcBorders>
              <w:top w:val="nil"/>
              <w:left w:val="nil"/>
              <w:bottom w:val="nil"/>
              <w:right w:val="nil"/>
            </w:tcBorders>
            <w:shd w:val="clear" w:color="auto" w:fill="auto"/>
            <w:noWrap/>
            <w:vAlign w:val="center"/>
          </w:tcPr>
          <w:p w14:paraId="0E90233C">
            <w:pPr>
              <w:rPr>
                <w:rFonts w:hint="eastAsia" w:ascii="宋体" w:hAnsi="宋体" w:eastAsia="宋体" w:cs="宋体"/>
                <w:i w:val="0"/>
                <w:iCs w:val="0"/>
                <w:color w:val="000000"/>
                <w:sz w:val="22"/>
                <w:szCs w:val="22"/>
                <w:u w:val="none"/>
              </w:rPr>
            </w:pPr>
          </w:p>
        </w:tc>
        <w:tc>
          <w:tcPr>
            <w:tcW w:w="2476" w:type="dxa"/>
            <w:tcBorders>
              <w:top w:val="nil"/>
              <w:left w:val="nil"/>
              <w:bottom w:val="nil"/>
              <w:right w:val="nil"/>
            </w:tcBorders>
            <w:shd w:val="clear" w:color="auto" w:fill="auto"/>
            <w:noWrap/>
            <w:vAlign w:val="center"/>
          </w:tcPr>
          <w:p w14:paraId="6ECE746F">
            <w:pPr>
              <w:rPr>
                <w:rFonts w:hint="eastAsia" w:ascii="宋体" w:hAnsi="宋体" w:eastAsia="宋体" w:cs="宋体"/>
                <w:i w:val="0"/>
                <w:iCs w:val="0"/>
                <w:color w:val="000000"/>
                <w:sz w:val="22"/>
                <w:szCs w:val="22"/>
                <w:u w:val="none"/>
              </w:rPr>
            </w:pPr>
          </w:p>
        </w:tc>
      </w:tr>
      <w:tr w14:paraId="78BA2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135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559D17E">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0863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A386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7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E62E7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51030023T000008356593-荣县人民检察院--智慧检务项目（管理）</w:t>
            </w:r>
          </w:p>
        </w:tc>
      </w:tr>
      <w:tr w14:paraId="76E4A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4A373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2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554C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荣县人民检察院部门</w:t>
            </w:r>
          </w:p>
        </w:tc>
        <w:tc>
          <w:tcPr>
            <w:tcW w:w="1092" w:type="dxa"/>
            <w:tcBorders>
              <w:top w:val="nil"/>
              <w:left w:val="nil"/>
              <w:bottom w:val="nil"/>
              <w:right w:val="nil"/>
            </w:tcBorders>
            <w:shd w:val="clear" w:color="auto" w:fill="auto"/>
            <w:vAlign w:val="center"/>
          </w:tcPr>
          <w:p w14:paraId="31E9512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9B42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荣县人民检察院</w:t>
            </w:r>
          </w:p>
        </w:tc>
      </w:tr>
      <w:tr w14:paraId="4A76C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1A0F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EB5C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2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A2FA7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A8D35C">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0D588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E5A4C">
            <w:pPr>
              <w:rPr>
                <w:rFonts w:hint="eastAsia" w:ascii="宋体" w:hAnsi="宋体" w:eastAsia="宋体" w:cs="宋体"/>
                <w:i w:val="0"/>
                <w:iCs w:val="0"/>
                <w:color w:val="000000"/>
                <w:sz w:val="18"/>
                <w:szCs w:val="18"/>
                <w:u w:val="none"/>
              </w:rPr>
            </w:pPr>
          </w:p>
        </w:tc>
        <w:tc>
          <w:tcPr>
            <w:tcW w:w="2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363719">
            <w:pPr>
              <w:rPr>
                <w:rFonts w:hint="eastAsia" w:ascii="宋体" w:hAnsi="宋体" w:eastAsia="宋体" w:cs="宋体"/>
                <w:i w:val="0"/>
                <w:iCs w:val="0"/>
                <w:color w:val="000000"/>
                <w:sz w:val="18"/>
                <w:szCs w:val="18"/>
                <w:u w:val="none"/>
              </w:rPr>
            </w:pPr>
          </w:p>
        </w:tc>
        <w:tc>
          <w:tcPr>
            <w:tcW w:w="62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7E4A7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按照上级检察院要求，进一步强化检察业务，完成电子认证基础设施、密码设备升级换装、隐写溯源系统建设、大数据法律监督模型应用等智慧检务工作。</w:t>
            </w:r>
          </w:p>
        </w:tc>
        <w:tc>
          <w:tcPr>
            <w:tcW w:w="45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A76F8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按照上级院要求，为进一步强化检察业务信息化措施，筑牢检察机关的保密防线，升级更换保密相关设备及系统，为数字检察和保密工作正常开展提供保障。</w:t>
            </w:r>
          </w:p>
        </w:tc>
      </w:tr>
      <w:tr w14:paraId="115E9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05473">
            <w:pPr>
              <w:rPr>
                <w:rFonts w:hint="eastAsia" w:ascii="宋体" w:hAnsi="宋体" w:eastAsia="宋体" w:cs="宋体"/>
                <w:i w:val="0"/>
                <w:iCs w:val="0"/>
                <w:color w:val="000000"/>
                <w:sz w:val="18"/>
                <w:szCs w:val="18"/>
                <w:u w:val="none"/>
              </w:rPr>
            </w:pP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B18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7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C7B96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完成隐写溯源系统、智能公文交换系统、信息化运维等技术升级。</w:t>
            </w:r>
          </w:p>
        </w:tc>
      </w:tr>
      <w:tr w14:paraId="67C38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0A58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23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66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44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8947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C9B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1B6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8F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DF3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0A3B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63F25">
            <w:pPr>
              <w:jc w:val="center"/>
              <w:rPr>
                <w:rFonts w:hint="eastAsia" w:ascii="宋体" w:hAnsi="宋体" w:eastAsia="宋体" w:cs="宋体"/>
                <w:i w:val="0"/>
                <w:iCs w:val="0"/>
                <w:color w:val="000000"/>
                <w:sz w:val="18"/>
                <w:szCs w:val="18"/>
                <w:u w:val="none"/>
              </w:rPr>
            </w:pP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3D4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B4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54.00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D67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12.71</w:t>
            </w:r>
          </w:p>
        </w:tc>
        <w:tc>
          <w:tcPr>
            <w:tcW w:w="2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16D6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12.71</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D69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19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AA4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ECEFE9">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E21B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59243">
            <w:pPr>
              <w:jc w:val="center"/>
              <w:rPr>
                <w:rFonts w:hint="eastAsia" w:ascii="宋体" w:hAnsi="宋体" w:eastAsia="宋体" w:cs="宋体"/>
                <w:i w:val="0"/>
                <w:iCs w:val="0"/>
                <w:color w:val="000000"/>
                <w:sz w:val="18"/>
                <w:szCs w:val="18"/>
                <w:u w:val="none"/>
              </w:rPr>
            </w:pP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E80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E1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54.00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B06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12.71</w:t>
            </w:r>
          </w:p>
        </w:tc>
        <w:tc>
          <w:tcPr>
            <w:tcW w:w="2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51F1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12.71</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98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6B9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80E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F7500">
            <w:pPr>
              <w:rPr>
                <w:rFonts w:hint="eastAsia" w:ascii="黑体" w:hAnsi="黑体" w:eastAsia="黑体" w:cs="黑体"/>
                <w:i/>
                <w:iCs/>
                <w:color w:val="000000"/>
                <w:sz w:val="18"/>
                <w:szCs w:val="18"/>
                <w:u w:val="none"/>
              </w:rPr>
            </w:pPr>
          </w:p>
        </w:tc>
      </w:tr>
      <w:tr w14:paraId="37EB4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0CBE1">
            <w:pPr>
              <w:jc w:val="center"/>
              <w:rPr>
                <w:rFonts w:hint="eastAsia" w:ascii="宋体" w:hAnsi="宋体" w:eastAsia="宋体" w:cs="宋体"/>
                <w:i w:val="0"/>
                <w:iCs w:val="0"/>
                <w:color w:val="000000"/>
                <w:sz w:val="18"/>
                <w:szCs w:val="18"/>
                <w:u w:val="none"/>
              </w:rPr>
            </w:pP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7F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653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4F6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F6B0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7A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F2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80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F2215">
            <w:pPr>
              <w:rPr>
                <w:rFonts w:hint="eastAsia" w:ascii="黑体" w:hAnsi="黑体" w:eastAsia="黑体" w:cs="黑体"/>
                <w:i/>
                <w:iCs/>
                <w:color w:val="000000"/>
                <w:sz w:val="18"/>
                <w:szCs w:val="18"/>
                <w:u w:val="none"/>
              </w:rPr>
            </w:pPr>
          </w:p>
        </w:tc>
      </w:tr>
      <w:tr w14:paraId="0A7FF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6557A">
            <w:pPr>
              <w:jc w:val="center"/>
              <w:rPr>
                <w:rFonts w:hint="eastAsia" w:ascii="宋体" w:hAnsi="宋体" w:eastAsia="宋体" w:cs="宋体"/>
                <w:i w:val="0"/>
                <w:iCs w:val="0"/>
                <w:color w:val="000000"/>
                <w:sz w:val="18"/>
                <w:szCs w:val="18"/>
                <w:u w:val="none"/>
              </w:rPr>
            </w:pP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EC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12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BB7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2E51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6F4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1D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71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AFFF8E">
            <w:pPr>
              <w:rPr>
                <w:rFonts w:hint="eastAsia" w:ascii="黑体" w:hAnsi="黑体" w:eastAsia="黑体" w:cs="黑体"/>
                <w:i/>
                <w:iCs/>
                <w:color w:val="000000"/>
                <w:sz w:val="18"/>
                <w:szCs w:val="18"/>
                <w:u w:val="none"/>
              </w:rPr>
            </w:pPr>
          </w:p>
        </w:tc>
      </w:tr>
      <w:tr w14:paraId="6B628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0355D4">
            <w:pPr>
              <w:jc w:val="center"/>
              <w:rPr>
                <w:rFonts w:hint="eastAsia" w:ascii="宋体" w:hAnsi="宋体" w:eastAsia="宋体" w:cs="宋体"/>
                <w:i w:val="0"/>
                <w:iCs w:val="0"/>
                <w:color w:val="000000"/>
                <w:sz w:val="18"/>
                <w:szCs w:val="18"/>
                <w:u w:val="none"/>
              </w:rPr>
            </w:pP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6C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EEC2">
            <w:pPr>
              <w:jc w:val="center"/>
              <w:rPr>
                <w:rFonts w:hint="eastAsia" w:ascii="微软雅黑" w:hAnsi="微软雅黑" w:eastAsia="微软雅黑" w:cs="微软雅黑"/>
                <w:i/>
                <w:iCs/>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77040">
            <w:pPr>
              <w:jc w:val="center"/>
              <w:rPr>
                <w:rFonts w:hint="eastAsia" w:ascii="微软雅黑" w:hAnsi="微软雅黑" w:eastAsia="微软雅黑" w:cs="微软雅黑"/>
                <w:i/>
                <w:iCs/>
                <w:color w:val="000000"/>
                <w:sz w:val="16"/>
                <w:szCs w:val="16"/>
                <w:u w:val="none"/>
              </w:rPr>
            </w:pPr>
          </w:p>
        </w:tc>
        <w:tc>
          <w:tcPr>
            <w:tcW w:w="2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B02CDD">
            <w:pPr>
              <w:jc w:val="center"/>
              <w:rPr>
                <w:rFonts w:hint="eastAsia" w:ascii="微软雅黑" w:hAnsi="微软雅黑" w:eastAsia="微软雅黑" w:cs="微软雅黑"/>
                <w:i/>
                <w:iCs/>
                <w:color w:val="000000"/>
                <w:sz w:val="16"/>
                <w:szCs w:val="16"/>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F8F8A">
            <w:pPr>
              <w:jc w:val="center"/>
              <w:rPr>
                <w:rFonts w:hint="eastAsia" w:ascii="微软雅黑" w:hAnsi="微软雅黑" w:eastAsia="微软雅黑" w:cs="微软雅黑"/>
                <w:i/>
                <w:iCs/>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243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C2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64215">
            <w:pPr>
              <w:rPr>
                <w:rFonts w:hint="eastAsia" w:ascii="黑体" w:hAnsi="黑体" w:eastAsia="黑体" w:cs="黑体"/>
                <w:i/>
                <w:iCs/>
                <w:color w:val="000000"/>
                <w:sz w:val="18"/>
                <w:szCs w:val="18"/>
                <w:u w:val="none"/>
              </w:rPr>
            </w:pPr>
          </w:p>
        </w:tc>
      </w:tr>
      <w:tr w14:paraId="6B5FB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241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F9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B7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461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EE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B8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07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83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FC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91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FE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00C90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412504">
            <w:pPr>
              <w:jc w:val="center"/>
              <w:rPr>
                <w:rFonts w:hint="eastAsia" w:ascii="宋体" w:hAnsi="宋体" w:eastAsia="宋体" w:cs="宋体"/>
                <w:i w:val="0"/>
                <w:iCs w:val="0"/>
                <w:color w:val="000000"/>
                <w:sz w:val="18"/>
                <w:szCs w:val="18"/>
                <w:u w:val="none"/>
              </w:rPr>
            </w:pPr>
          </w:p>
        </w:tc>
        <w:tc>
          <w:tcPr>
            <w:tcW w:w="20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72D0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B7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716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检务设备系统保障总数量</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74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F0B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42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套</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880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C2D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92E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2D12">
            <w:pPr>
              <w:jc w:val="center"/>
              <w:rPr>
                <w:rFonts w:hint="eastAsia" w:ascii="微软雅黑" w:hAnsi="微软雅黑" w:eastAsia="微软雅黑" w:cs="微软雅黑"/>
                <w:i/>
                <w:iCs/>
                <w:color w:val="000000"/>
                <w:sz w:val="16"/>
                <w:szCs w:val="16"/>
                <w:u w:val="none"/>
              </w:rPr>
            </w:pPr>
          </w:p>
        </w:tc>
      </w:tr>
      <w:tr w14:paraId="46383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FBA1FD">
            <w:pPr>
              <w:jc w:val="center"/>
              <w:rPr>
                <w:rFonts w:hint="eastAsia" w:ascii="宋体" w:hAnsi="宋体" w:eastAsia="宋体" w:cs="宋体"/>
                <w:i w:val="0"/>
                <w:iCs w:val="0"/>
                <w:color w:val="000000"/>
                <w:sz w:val="18"/>
                <w:szCs w:val="18"/>
                <w:u w:val="none"/>
              </w:rPr>
            </w:pPr>
          </w:p>
        </w:tc>
        <w:tc>
          <w:tcPr>
            <w:tcW w:w="2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9B3FF">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7D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F0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系统验收质量合格率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2F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AF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FA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7BA52">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93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9D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3F8C">
            <w:pPr>
              <w:jc w:val="center"/>
              <w:rPr>
                <w:rFonts w:hint="eastAsia" w:ascii="微软雅黑" w:hAnsi="微软雅黑" w:eastAsia="微软雅黑" w:cs="微软雅黑"/>
                <w:i/>
                <w:iCs/>
                <w:color w:val="000000"/>
                <w:sz w:val="16"/>
                <w:szCs w:val="16"/>
                <w:u w:val="none"/>
              </w:rPr>
            </w:pPr>
          </w:p>
        </w:tc>
      </w:tr>
      <w:tr w14:paraId="27D3C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F9F95C">
            <w:pPr>
              <w:jc w:val="center"/>
              <w:rPr>
                <w:rFonts w:hint="eastAsia" w:ascii="宋体" w:hAnsi="宋体" w:eastAsia="宋体" w:cs="宋体"/>
                <w:i w:val="0"/>
                <w:iCs w:val="0"/>
                <w:color w:val="000000"/>
                <w:sz w:val="18"/>
                <w:szCs w:val="18"/>
                <w:u w:val="none"/>
              </w:rPr>
            </w:pPr>
          </w:p>
        </w:tc>
        <w:tc>
          <w:tcPr>
            <w:tcW w:w="2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DFD3D">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EA4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AB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项目按期完成率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09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0E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68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5CA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6</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89C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6C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BC16">
            <w:pPr>
              <w:jc w:val="center"/>
              <w:rPr>
                <w:rFonts w:hint="eastAsia" w:ascii="微软雅黑" w:hAnsi="微软雅黑" w:eastAsia="微软雅黑" w:cs="微软雅黑"/>
                <w:i/>
                <w:iCs/>
                <w:color w:val="000000"/>
                <w:sz w:val="16"/>
                <w:szCs w:val="16"/>
                <w:u w:val="none"/>
              </w:rPr>
            </w:pPr>
          </w:p>
        </w:tc>
      </w:tr>
      <w:tr w14:paraId="74249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FCB234">
            <w:pPr>
              <w:jc w:val="center"/>
              <w:rPr>
                <w:rFonts w:hint="eastAsia" w:ascii="宋体" w:hAnsi="宋体" w:eastAsia="宋体" w:cs="宋体"/>
                <w:i w:val="0"/>
                <w:iCs w:val="0"/>
                <w:color w:val="000000"/>
                <w:sz w:val="18"/>
                <w:szCs w:val="18"/>
                <w:u w:val="none"/>
              </w:rPr>
            </w:pPr>
          </w:p>
        </w:tc>
        <w:tc>
          <w:tcPr>
            <w:tcW w:w="20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53C4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D5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316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对检察工作服务社会治理的促进作用</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3F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EA3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D05E">
            <w:pPr>
              <w:jc w:val="center"/>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9D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75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E9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80807">
            <w:pPr>
              <w:jc w:val="center"/>
              <w:rPr>
                <w:rFonts w:hint="eastAsia" w:ascii="微软雅黑" w:hAnsi="微软雅黑" w:eastAsia="微软雅黑" w:cs="微软雅黑"/>
                <w:i/>
                <w:iCs/>
                <w:color w:val="000000"/>
                <w:sz w:val="16"/>
                <w:szCs w:val="16"/>
                <w:u w:val="none"/>
              </w:rPr>
            </w:pPr>
          </w:p>
        </w:tc>
      </w:tr>
      <w:tr w14:paraId="6E932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6EE06">
            <w:pPr>
              <w:jc w:val="center"/>
              <w:rPr>
                <w:rFonts w:hint="eastAsia" w:ascii="宋体" w:hAnsi="宋体" w:eastAsia="宋体" w:cs="宋体"/>
                <w:i w:val="0"/>
                <w:iCs w:val="0"/>
                <w:color w:val="000000"/>
                <w:sz w:val="18"/>
                <w:szCs w:val="18"/>
                <w:u w:val="none"/>
              </w:rPr>
            </w:pPr>
          </w:p>
        </w:tc>
        <w:tc>
          <w:tcPr>
            <w:tcW w:w="2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00040">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4E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9C5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智慧检务可持续全覆盖全院检察工作</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4A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91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DBF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CF16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974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A7C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BC0A">
            <w:pPr>
              <w:jc w:val="center"/>
              <w:rPr>
                <w:rFonts w:hint="eastAsia" w:ascii="微软雅黑" w:hAnsi="微软雅黑" w:eastAsia="微软雅黑" w:cs="微软雅黑"/>
                <w:i/>
                <w:iCs/>
                <w:color w:val="000000"/>
                <w:sz w:val="16"/>
                <w:szCs w:val="16"/>
                <w:u w:val="none"/>
              </w:rPr>
            </w:pPr>
          </w:p>
        </w:tc>
      </w:tr>
      <w:tr w14:paraId="019BA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D9D89F">
            <w:pPr>
              <w:jc w:val="center"/>
              <w:rPr>
                <w:rFonts w:hint="eastAsia" w:ascii="宋体" w:hAnsi="宋体" w:eastAsia="宋体" w:cs="宋体"/>
                <w:i w:val="0"/>
                <w:iCs w:val="0"/>
                <w:color w:val="000000"/>
                <w:sz w:val="18"/>
                <w:szCs w:val="18"/>
                <w:u w:val="none"/>
              </w:rPr>
            </w:pP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79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486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7C7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干警使用满意度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47F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9A2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B2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9561">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98</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270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A8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FB0C">
            <w:pPr>
              <w:jc w:val="center"/>
              <w:rPr>
                <w:rFonts w:hint="eastAsia" w:ascii="微软雅黑" w:hAnsi="微软雅黑" w:eastAsia="微软雅黑" w:cs="微软雅黑"/>
                <w:i/>
                <w:iCs/>
                <w:color w:val="000000"/>
                <w:sz w:val="16"/>
                <w:szCs w:val="16"/>
                <w:u w:val="none"/>
              </w:rPr>
            </w:pPr>
          </w:p>
        </w:tc>
      </w:tr>
      <w:tr w14:paraId="74E0B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2CE1C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3A9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4074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5E489">
            <w:pPr>
              <w:rPr>
                <w:rFonts w:hint="eastAsia" w:ascii="宋体" w:hAnsi="宋体" w:eastAsia="宋体" w:cs="宋体"/>
                <w:i w:val="0"/>
                <w:iCs w:val="0"/>
                <w:color w:val="000000"/>
                <w:sz w:val="18"/>
                <w:szCs w:val="18"/>
                <w:u w:val="none"/>
              </w:rPr>
            </w:pPr>
          </w:p>
        </w:tc>
      </w:tr>
      <w:tr w14:paraId="771E2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845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8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9CE994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经自评，该项目自评得分为96分，项目的实施积极推动了新时代检察工作的进一步提高，保障了我院智慧检务的工作经费，确保了新时代检察机关数字检察技术的高质量发展。</w:t>
            </w:r>
          </w:p>
        </w:tc>
      </w:tr>
      <w:tr w14:paraId="321BC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C4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8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71FACE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智慧检务在服务基层社会治理的运用上还存在技术更新迭代缓慢，模型构建不够完善。</w:t>
            </w:r>
          </w:p>
        </w:tc>
      </w:tr>
      <w:tr w14:paraId="4258B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1D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8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4AB3C2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进一步增强检察办案数字赋能，促进社会治理现代化。</w:t>
            </w:r>
          </w:p>
        </w:tc>
      </w:tr>
      <w:tr w14:paraId="4989E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284988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项目负责人：李沛遥</w:t>
            </w:r>
          </w:p>
        </w:tc>
        <w:tc>
          <w:tcPr>
            <w:tcW w:w="66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8675CE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财务负责人：杨琳</w:t>
            </w:r>
          </w:p>
        </w:tc>
      </w:tr>
      <w:tr w14:paraId="15882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0" w:type="dxa"/>
            <w:tcBorders>
              <w:top w:val="nil"/>
              <w:left w:val="nil"/>
              <w:bottom w:val="nil"/>
              <w:right w:val="nil"/>
            </w:tcBorders>
            <w:shd w:val="clear" w:color="auto" w:fill="auto"/>
            <w:vAlign w:val="center"/>
          </w:tcPr>
          <w:p w14:paraId="21662754">
            <w:pPr>
              <w:rPr>
                <w:rFonts w:hint="eastAsia" w:ascii="宋体" w:hAnsi="宋体" w:eastAsia="宋体" w:cs="宋体"/>
                <w:i w:val="0"/>
                <w:iCs w:val="0"/>
                <w:color w:val="000000"/>
                <w:sz w:val="18"/>
                <w:szCs w:val="18"/>
                <w:u w:val="none"/>
              </w:rPr>
            </w:pPr>
          </w:p>
        </w:tc>
        <w:tc>
          <w:tcPr>
            <w:tcW w:w="2049" w:type="dxa"/>
            <w:tcBorders>
              <w:top w:val="nil"/>
              <w:left w:val="nil"/>
              <w:bottom w:val="nil"/>
              <w:right w:val="nil"/>
            </w:tcBorders>
            <w:shd w:val="clear" w:color="auto" w:fill="auto"/>
            <w:vAlign w:val="center"/>
          </w:tcPr>
          <w:p w14:paraId="368B4E87">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51BC9197">
            <w:pPr>
              <w:rPr>
                <w:rFonts w:hint="eastAsia" w:ascii="宋体" w:hAnsi="宋体" w:eastAsia="宋体" w:cs="宋体"/>
                <w:i w:val="0"/>
                <w:iCs w:val="0"/>
                <w:color w:val="000000"/>
                <w:sz w:val="18"/>
                <w:szCs w:val="18"/>
                <w:u w:val="none"/>
              </w:rPr>
            </w:pPr>
          </w:p>
        </w:tc>
        <w:tc>
          <w:tcPr>
            <w:tcW w:w="1827" w:type="dxa"/>
            <w:tcBorders>
              <w:top w:val="nil"/>
              <w:left w:val="nil"/>
              <w:bottom w:val="nil"/>
              <w:right w:val="nil"/>
            </w:tcBorders>
            <w:shd w:val="clear" w:color="auto" w:fill="auto"/>
            <w:vAlign w:val="center"/>
          </w:tcPr>
          <w:p w14:paraId="7DE76FF7">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68809398">
            <w:pPr>
              <w:rPr>
                <w:rFonts w:hint="eastAsia" w:ascii="宋体" w:hAnsi="宋体" w:eastAsia="宋体" w:cs="宋体"/>
                <w:i w:val="0"/>
                <w:iCs w:val="0"/>
                <w:color w:val="000000"/>
                <w:sz w:val="18"/>
                <w:szCs w:val="18"/>
                <w:u w:val="none"/>
              </w:rPr>
            </w:pPr>
          </w:p>
        </w:tc>
        <w:tc>
          <w:tcPr>
            <w:tcW w:w="1662" w:type="dxa"/>
            <w:tcBorders>
              <w:top w:val="nil"/>
              <w:left w:val="nil"/>
              <w:bottom w:val="nil"/>
              <w:right w:val="nil"/>
            </w:tcBorders>
            <w:shd w:val="clear" w:color="auto" w:fill="auto"/>
            <w:vAlign w:val="center"/>
          </w:tcPr>
          <w:p w14:paraId="734C9E8B">
            <w:pPr>
              <w:rPr>
                <w:rFonts w:hint="eastAsia" w:ascii="宋体" w:hAnsi="宋体" w:eastAsia="宋体" w:cs="宋体"/>
                <w:i w:val="0"/>
                <w:iCs w:val="0"/>
                <w:color w:val="000000"/>
                <w:sz w:val="18"/>
                <w:szCs w:val="18"/>
                <w:u w:val="none"/>
              </w:rPr>
            </w:pPr>
          </w:p>
        </w:tc>
        <w:tc>
          <w:tcPr>
            <w:tcW w:w="465" w:type="dxa"/>
            <w:tcBorders>
              <w:top w:val="nil"/>
              <w:left w:val="nil"/>
              <w:bottom w:val="nil"/>
              <w:right w:val="nil"/>
            </w:tcBorders>
            <w:shd w:val="clear" w:color="auto" w:fill="auto"/>
            <w:vAlign w:val="center"/>
          </w:tcPr>
          <w:p w14:paraId="2FB095E3">
            <w:pPr>
              <w:rPr>
                <w:rFonts w:hint="eastAsia" w:ascii="宋体" w:hAnsi="宋体" w:eastAsia="宋体" w:cs="宋体"/>
                <w:i w:val="0"/>
                <w:iCs w:val="0"/>
                <w:color w:val="000000"/>
                <w:sz w:val="18"/>
                <w:szCs w:val="18"/>
                <w:u w:val="none"/>
              </w:rPr>
            </w:pPr>
          </w:p>
        </w:tc>
        <w:tc>
          <w:tcPr>
            <w:tcW w:w="1092" w:type="dxa"/>
            <w:tcBorders>
              <w:top w:val="nil"/>
              <w:left w:val="nil"/>
              <w:bottom w:val="nil"/>
              <w:right w:val="nil"/>
            </w:tcBorders>
            <w:shd w:val="clear" w:color="auto" w:fill="auto"/>
            <w:vAlign w:val="center"/>
          </w:tcPr>
          <w:p w14:paraId="258B52D8">
            <w:pPr>
              <w:rPr>
                <w:rFonts w:hint="eastAsia" w:ascii="宋体" w:hAnsi="宋体" w:eastAsia="宋体" w:cs="宋体"/>
                <w:i w:val="0"/>
                <w:iCs w:val="0"/>
                <w:color w:val="000000"/>
                <w:sz w:val="18"/>
                <w:szCs w:val="18"/>
                <w:u w:val="none"/>
              </w:rPr>
            </w:pPr>
          </w:p>
        </w:tc>
        <w:tc>
          <w:tcPr>
            <w:tcW w:w="506" w:type="dxa"/>
            <w:tcBorders>
              <w:top w:val="nil"/>
              <w:left w:val="nil"/>
              <w:bottom w:val="nil"/>
              <w:right w:val="nil"/>
            </w:tcBorders>
            <w:shd w:val="clear" w:color="auto" w:fill="auto"/>
            <w:vAlign w:val="center"/>
          </w:tcPr>
          <w:p w14:paraId="60D37B2E">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14:paraId="7471BFEC">
            <w:pPr>
              <w:rPr>
                <w:rFonts w:hint="eastAsia" w:ascii="宋体" w:hAnsi="宋体" w:eastAsia="宋体" w:cs="宋体"/>
                <w:i w:val="0"/>
                <w:iCs w:val="0"/>
                <w:color w:val="000000"/>
                <w:sz w:val="18"/>
                <w:szCs w:val="18"/>
                <w:u w:val="none"/>
              </w:rPr>
            </w:pPr>
          </w:p>
        </w:tc>
        <w:tc>
          <w:tcPr>
            <w:tcW w:w="2476" w:type="dxa"/>
            <w:tcBorders>
              <w:top w:val="nil"/>
              <w:left w:val="nil"/>
              <w:bottom w:val="nil"/>
              <w:right w:val="nil"/>
            </w:tcBorders>
            <w:shd w:val="clear" w:color="auto" w:fill="auto"/>
            <w:vAlign w:val="center"/>
          </w:tcPr>
          <w:p w14:paraId="3229216C">
            <w:pPr>
              <w:rPr>
                <w:rFonts w:hint="eastAsia" w:ascii="宋体" w:hAnsi="宋体" w:eastAsia="宋体" w:cs="宋体"/>
                <w:i w:val="0"/>
                <w:iCs w:val="0"/>
                <w:color w:val="000000"/>
                <w:sz w:val="18"/>
                <w:szCs w:val="18"/>
                <w:u w:val="none"/>
              </w:rPr>
            </w:pPr>
          </w:p>
        </w:tc>
      </w:tr>
      <w:tr w14:paraId="37309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0" w:type="dxa"/>
            <w:tcBorders>
              <w:top w:val="nil"/>
              <w:left w:val="nil"/>
              <w:bottom w:val="nil"/>
              <w:right w:val="nil"/>
            </w:tcBorders>
            <w:shd w:val="clear" w:color="auto" w:fill="auto"/>
            <w:vAlign w:val="center"/>
          </w:tcPr>
          <w:p w14:paraId="3B0B6D7D">
            <w:pPr>
              <w:rPr>
                <w:rFonts w:hint="eastAsia" w:ascii="宋体" w:hAnsi="宋体" w:eastAsia="宋体" w:cs="宋体"/>
                <w:i w:val="0"/>
                <w:iCs w:val="0"/>
                <w:color w:val="000000"/>
                <w:sz w:val="18"/>
                <w:szCs w:val="18"/>
                <w:u w:val="none"/>
              </w:rPr>
            </w:pPr>
          </w:p>
        </w:tc>
        <w:tc>
          <w:tcPr>
            <w:tcW w:w="2049" w:type="dxa"/>
            <w:tcBorders>
              <w:top w:val="nil"/>
              <w:left w:val="nil"/>
              <w:bottom w:val="nil"/>
              <w:right w:val="nil"/>
            </w:tcBorders>
            <w:shd w:val="clear" w:color="auto" w:fill="auto"/>
            <w:vAlign w:val="center"/>
          </w:tcPr>
          <w:p w14:paraId="007E1900">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7986F0C2">
            <w:pPr>
              <w:rPr>
                <w:rFonts w:hint="eastAsia" w:ascii="宋体" w:hAnsi="宋体" w:eastAsia="宋体" w:cs="宋体"/>
                <w:i w:val="0"/>
                <w:iCs w:val="0"/>
                <w:color w:val="000000"/>
                <w:sz w:val="18"/>
                <w:szCs w:val="18"/>
                <w:u w:val="none"/>
              </w:rPr>
            </w:pPr>
          </w:p>
        </w:tc>
        <w:tc>
          <w:tcPr>
            <w:tcW w:w="1827" w:type="dxa"/>
            <w:tcBorders>
              <w:top w:val="nil"/>
              <w:left w:val="nil"/>
              <w:bottom w:val="nil"/>
              <w:right w:val="nil"/>
            </w:tcBorders>
            <w:shd w:val="clear" w:color="auto" w:fill="auto"/>
            <w:vAlign w:val="center"/>
          </w:tcPr>
          <w:p w14:paraId="6C7D9D4A">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2F932611">
            <w:pPr>
              <w:rPr>
                <w:rFonts w:hint="eastAsia" w:ascii="宋体" w:hAnsi="宋体" w:eastAsia="宋体" w:cs="宋体"/>
                <w:i w:val="0"/>
                <w:iCs w:val="0"/>
                <w:color w:val="000000"/>
                <w:sz w:val="18"/>
                <w:szCs w:val="18"/>
                <w:u w:val="none"/>
              </w:rPr>
            </w:pPr>
          </w:p>
        </w:tc>
        <w:tc>
          <w:tcPr>
            <w:tcW w:w="1662" w:type="dxa"/>
            <w:tcBorders>
              <w:top w:val="nil"/>
              <w:left w:val="nil"/>
              <w:bottom w:val="nil"/>
              <w:right w:val="nil"/>
            </w:tcBorders>
            <w:shd w:val="clear" w:color="auto" w:fill="auto"/>
            <w:vAlign w:val="center"/>
          </w:tcPr>
          <w:p w14:paraId="42FD6E21">
            <w:pPr>
              <w:rPr>
                <w:rFonts w:hint="eastAsia" w:ascii="宋体" w:hAnsi="宋体" w:eastAsia="宋体" w:cs="宋体"/>
                <w:i w:val="0"/>
                <w:iCs w:val="0"/>
                <w:color w:val="000000"/>
                <w:sz w:val="18"/>
                <w:szCs w:val="18"/>
                <w:u w:val="none"/>
              </w:rPr>
            </w:pPr>
          </w:p>
        </w:tc>
        <w:tc>
          <w:tcPr>
            <w:tcW w:w="465" w:type="dxa"/>
            <w:tcBorders>
              <w:top w:val="nil"/>
              <w:left w:val="nil"/>
              <w:bottom w:val="nil"/>
              <w:right w:val="nil"/>
            </w:tcBorders>
            <w:shd w:val="clear" w:color="auto" w:fill="auto"/>
            <w:vAlign w:val="center"/>
          </w:tcPr>
          <w:p w14:paraId="608E47DE">
            <w:pPr>
              <w:rPr>
                <w:rFonts w:hint="eastAsia" w:ascii="宋体" w:hAnsi="宋体" w:eastAsia="宋体" w:cs="宋体"/>
                <w:i w:val="0"/>
                <w:iCs w:val="0"/>
                <w:color w:val="000000"/>
                <w:sz w:val="18"/>
                <w:szCs w:val="18"/>
                <w:u w:val="none"/>
              </w:rPr>
            </w:pPr>
          </w:p>
        </w:tc>
        <w:tc>
          <w:tcPr>
            <w:tcW w:w="1092" w:type="dxa"/>
            <w:tcBorders>
              <w:top w:val="nil"/>
              <w:left w:val="nil"/>
              <w:bottom w:val="nil"/>
              <w:right w:val="nil"/>
            </w:tcBorders>
            <w:shd w:val="clear" w:color="auto" w:fill="auto"/>
            <w:vAlign w:val="center"/>
          </w:tcPr>
          <w:p w14:paraId="38C8932B">
            <w:pPr>
              <w:rPr>
                <w:rFonts w:hint="eastAsia" w:ascii="宋体" w:hAnsi="宋体" w:eastAsia="宋体" w:cs="宋体"/>
                <w:i w:val="0"/>
                <w:iCs w:val="0"/>
                <w:color w:val="000000"/>
                <w:sz w:val="18"/>
                <w:szCs w:val="18"/>
                <w:u w:val="none"/>
              </w:rPr>
            </w:pPr>
          </w:p>
        </w:tc>
        <w:tc>
          <w:tcPr>
            <w:tcW w:w="506" w:type="dxa"/>
            <w:tcBorders>
              <w:top w:val="nil"/>
              <w:left w:val="nil"/>
              <w:bottom w:val="nil"/>
              <w:right w:val="nil"/>
            </w:tcBorders>
            <w:shd w:val="clear" w:color="auto" w:fill="auto"/>
            <w:vAlign w:val="center"/>
          </w:tcPr>
          <w:p w14:paraId="4EA9EEEC">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14:paraId="30B685B0">
            <w:pPr>
              <w:rPr>
                <w:rFonts w:hint="eastAsia" w:ascii="宋体" w:hAnsi="宋体" w:eastAsia="宋体" w:cs="宋体"/>
                <w:i w:val="0"/>
                <w:iCs w:val="0"/>
                <w:color w:val="000000"/>
                <w:sz w:val="18"/>
                <w:szCs w:val="18"/>
                <w:u w:val="none"/>
              </w:rPr>
            </w:pPr>
          </w:p>
        </w:tc>
        <w:tc>
          <w:tcPr>
            <w:tcW w:w="2476" w:type="dxa"/>
            <w:tcBorders>
              <w:top w:val="nil"/>
              <w:left w:val="nil"/>
              <w:bottom w:val="nil"/>
              <w:right w:val="nil"/>
            </w:tcBorders>
            <w:shd w:val="clear" w:color="auto" w:fill="auto"/>
            <w:vAlign w:val="center"/>
          </w:tcPr>
          <w:p w14:paraId="07074B7E">
            <w:pPr>
              <w:rPr>
                <w:rFonts w:hint="eastAsia" w:ascii="宋体" w:hAnsi="宋体" w:eastAsia="宋体" w:cs="宋体"/>
                <w:i w:val="0"/>
                <w:iCs w:val="0"/>
                <w:color w:val="000000"/>
                <w:sz w:val="18"/>
                <w:szCs w:val="18"/>
                <w:u w:val="none"/>
              </w:rPr>
            </w:pPr>
          </w:p>
        </w:tc>
      </w:tr>
      <w:tr w14:paraId="617E1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trPr>
        <w:tc>
          <w:tcPr>
            <w:tcW w:w="135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A85BCAE">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089D7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D692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7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3C6DD23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51030023Y000008351611-荣县人民检察院--司法绩效项目</w:t>
            </w:r>
          </w:p>
        </w:tc>
      </w:tr>
      <w:tr w14:paraId="37278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F8A0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2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BEC9D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荣县人民检察院部门</w:t>
            </w:r>
          </w:p>
        </w:tc>
        <w:tc>
          <w:tcPr>
            <w:tcW w:w="1092" w:type="dxa"/>
            <w:tcBorders>
              <w:top w:val="nil"/>
              <w:left w:val="nil"/>
              <w:bottom w:val="nil"/>
              <w:right w:val="nil"/>
            </w:tcBorders>
            <w:shd w:val="clear" w:color="auto" w:fill="auto"/>
            <w:vAlign w:val="center"/>
          </w:tcPr>
          <w:p w14:paraId="36903253">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5B09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荣县人民检察院</w:t>
            </w:r>
          </w:p>
        </w:tc>
      </w:tr>
      <w:tr w14:paraId="12E33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E1DC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7475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2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E36E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A3CDA4">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784AA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EC25A">
            <w:pPr>
              <w:rPr>
                <w:rFonts w:hint="eastAsia" w:ascii="宋体" w:hAnsi="宋体" w:eastAsia="宋体" w:cs="宋体"/>
                <w:i w:val="0"/>
                <w:iCs w:val="0"/>
                <w:color w:val="000000"/>
                <w:sz w:val="18"/>
                <w:szCs w:val="18"/>
                <w:u w:val="none"/>
              </w:rPr>
            </w:pPr>
          </w:p>
        </w:tc>
        <w:tc>
          <w:tcPr>
            <w:tcW w:w="2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E8395">
            <w:pPr>
              <w:rPr>
                <w:rFonts w:hint="eastAsia" w:ascii="宋体" w:hAnsi="宋体" w:eastAsia="宋体" w:cs="宋体"/>
                <w:i w:val="0"/>
                <w:iCs w:val="0"/>
                <w:color w:val="000000"/>
                <w:sz w:val="18"/>
                <w:szCs w:val="18"/>
                <w:u w:val="none"/>
              </w:rPr>
            </w:pPr>
          </w:p>
        </w:tc>
        <w:tc>
          <w:tcPr>
            <w:tcW w:w="62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3C15F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用于荣县人民检察院员额检察官、司法辅助人员、司法行政人员绩效考核奖金发放，以更好的激发检察干警干事创业热情，为检察事业更优发展注入内生动力。</w:t>
            </w:r>
          </w:p>
        </w:tc>
        <w:tc>
          <w:tcPr>
            <w:tcW w:w="45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E531DC">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2023年司法绩效工作是为了进一步促进检察人员办案，完成上级院下达驾校考核目标，统筹安排用于绩效奖金的保障。</w:t>
            </w:r>
          </w:p>
        </w:tc>
      </w:tr>
      <w:tr w14:paraId="2B91B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560D0">
            <w:pPr>
              <w:rPr>
                <w:rFonts w:hint="eastAsia" w:ascii="宋体" w:hAnsi="宋体" w:eastAsia="宋体" w:cs="宋体"/>
                <w:i w:val="0"/>
                <w:iCs w:val="0"/>
                <w:color w:val="000000"/>
                <w:sz w:val="18"/>
                <w:szCs w:val="18"/>
                <w:u w:val="none"/>
              </w:rPr>
            </w:pP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1A5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7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D84C3E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2023年我院一共实有42名政法专项编制人员纳入司法绩效专项考核，均完成绩效考核奖金发放。</w:t>
            </w:r>
          </w:p>
        </w:tc>
      </w:tr>
      <w:tr w14:paraId="4A662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C1B1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E51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06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5E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7A3E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D8C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774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DA1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71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3E0CF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BA0866">
            <w:pPr>
              <w:jc w:val="center"/>
              <w:rPr>
                <w:rFonts w:hint="eastAsia" w:ascii="宋体" w:hAnsi="宋体" w:eastAsia="宋体" w:cs="宋体"/>
                <w:i w:val="0"/>
                <w:iCs w:val="0"/>
                <w:color w:val="000000"/>
                <w:sz w:val="18"/>
                <w:szCs w:val="18"/>
                <w:u w:val="none"/>
              </w:rPr>
            </w:pP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4D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5C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95.00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3A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93.52</w:t>
            </w:r>
          </w:p>
        </w:tc>
        <w:tc>
          <w:tcPr>
            <w:tcW w:w="2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7567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93.52</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2F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4F8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99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60FC92">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5CA82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905C5">
            <w:pPr>
              <w:jc w:val="center"/>
              <w:rPr>
                <w:rFonts w:hint="eastAsia" w:ascii="宋体" w:hAnsi="宋体" w:eastAsia="宋体" w:cs="宋体"/>
                <w:i w:val="0"/>
                <w:iCs w:val="0"/>
                <w:color w:val="000000"/>
                <w:sz w:val="18"/>
                <w:szCs w:val="18"/>
                <w:u w:val="none"/>
              </w:rPr>
            </w:pP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76E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05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95.00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450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93.52</w:t>
            </w:r>
          </w:p>
        </w:tc>
        <w:tc>
          <w:tcPr>
            <w:tcW w:w="2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E9CE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93.52</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5E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4B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1C2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33FC70">
            <w:pPr>
              <w:rPr>
                <w:rFonts w:hint="eastAsia" w:ascii="黑体" w:hAnsi="黑体" w:eastAsia="黑体" w:cs="黑体"/>
                <w:i/>
                <w:iCs/>
                <w:color w:val="000000"/>
                <w:sz w:val="18"/>
                <w:szCs w:val="18"/>
                <w:u w:val="none"/>
              </w:rPr>
            </w:pPr>
          </w:p>
        </w:tc>
      </w:tr>
      <w:tr w14:paraId="4DB78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6D1E7">
            <w:pPr>
              <w:jc w:val="center"/>
              <w:rPr>
                <w:rFonts w:hint="eastAsia" w:ascii="宋体" w:hAnsi="宋体" w:eastAsia="宋体" w:cs="宋体"/>
                <w:i w:val="0"/>
                <w:iCs w:val="0"/>
                <w:color w:val="000000"/>
                <w:sz w:val="18"/>
                <w:szCs w:val="18"/>
                <w:u w:val="none"/>
              </w:rPr>
            </w:pP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FC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65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3EA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C470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2A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9C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92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EAC2DB">
            <w:pPr>
              <w:rPr>
                <w:rFonts w:hint="eastAsia" w:ascii="黑体" w:hAnsi="黑体" w:eastAsia="黑体" w:cs="黑体"/>
                <w:i/>
                <w:iCs/>
                <w:color w:val="000000"/>
                <w:sz w:val="18"/>
                <w:szCs w:val="18"/>
                <w:u w:val="none"/>
              </w:rPr>
            </w:pPr>
          </w:p>
        </w:tc>
      </w:tr>
      <w:tr w14:paraId="7D395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9CB922">
            <w:pPr>
              <w:jc w:val="center"/>
              <w:rPr>
                <w:rFonts w:hint="eastAsia" w:ascii="宋体" w:hAnsi="宋体" w:eastAsia="宋体" w:cs="宋体"/>
                <w:i w:val="0"/>
                <w:iCs w:val="0"/>
                <w:color w:val="000000"/>
                <w:sz w:val="18"/>
                <w:szCs w:val="18"/>
                <w:u w:val="none"/>
              </w:rPr>
            </w:pP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9C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F0E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D39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92B7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67A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15B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12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F17DC">
            <w:pPr>
              <w:rPr>
                <w:rFonts w:hint="eastAsia" w:ascii="黑体" w:hAnsi="黑体" w:eastAsia="黑体" w:cs="黑体"/>
                <w:i/>
                <w:iCs/>
                <w:color w:val="000000"/>
                <w:sz w:val="18"/>
                <w:szCs w:val="18"/>
                <w:u w:val="none"/>
              </w:rPr>
            </w:pPr>
          </w:p>
        </w:tc>
      </w:tr>
      <w:tr w14:paraId="00DF3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587C6">
            <w:pPr>
              <w:jc w:val="center"/>
              <w:rPr>
                <w:rFonts w:hint="eastAsia" w:ascii="宋体" w:hAnsi="宋体" w:eastAsia="宋体" w:cs="宋体"/>
                <w:i w:val="0"/>
                <w:iCs w:val="0"/>
                <w:color w:val="000000"/>
                <w:sz w:val="18"/>
                <w:szCs w:val="18"/>
                <w:u w:val="none"/>
              </w:rPr>
            </w:pP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60C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CB91F">
            <w:pPr>
              <w:jc w:val="center"/>
              <w:rPr>
                <w:rFonts w:hint="eastAsia" w:ascii="微软雅黑" w:hAnsi="微软雅黑" w:eastAsia="微软雅黑" w:cs="微软雅黑"/>
                <w:i/>
                <w:iCs/>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08999">
            <w:pPr>
              <w:jc w:val="center"/>
              <w:rPr>
                <w:rFonts w:hint="eastAsia" w:ascii="微软雅黑" w:hAnsi="微软雅黑" w:eastAsia="微软雅黑" w:cs="微软雅黑"/>
                <w:i/>
                <w:iCs/>
                <w:color w:val="000000"/>
                <w:sz w:val="16"/>
                <w:szCs w:val="16"/>
                <w:u w:val="none"/>
              </w:rPr>
            </w:pPr>
          </w:p>
        </w:tc>
        <w:tc>
          <w:tcPr>
            <w:tcW w:w="2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2F3661">
            <w:pPr>
              <w:jc w:val="center"/>
              <w:rPr>
                <w:rFonts w:hint="eastAsia" w:ascii="微软雅黑" w:hAnsi="微软雅黑" w:eastAsia="微软雅黑" w:cs="微软雅黑"/>
                <w:i/>
                <w:iCs/>
                <w:color w:val="000000"/>
                <w:sz w:val="16"/>
                <w:szCs w:val="16"/>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4D7FE">
            <w:pPr>
              <w:jc w:val="center"/>
              <w:rPr>
                <w:rFonts w:hint="eastAsia" w:ascii="微软雅黑" w:hAnsi="微软雅黑" w:eastAsia="微软雅黑" w:cs="微软雅黑"/>
                <w:i/>
                <w:iCs/>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4A3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59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569DA">
            <w:pPr>
              <w:rPr>
                <w:rFonts w:hint="eastAsia" w:ascii="黑体" w:hAnsi="黑体" w:eastAsia="黑体" w:cs="黑体"/>
                <w:i/>
                <w:iCs/>
                <w:color w:val="000000"/>
                <w:sz w:val="18"/>
                <w:szCs w:val="18"/>
                <w:u w:val="none"/>
              </w:rPr>
            </w:pPr>
          </w:p>
        </w:tc>
      </w:tr>
      <w:tr w14:paraId="6664D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4D8D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8F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AC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62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5B3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70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0E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14E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6F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AC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B1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7419F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9FCC3">
            <w:pPr>
              <w:jc w:val="center"/>
              <w:rPr>
                <w:rFonts w:hint="eastAsia" w:ascii="宋体" w:hAnsi="宋体" w:eastAsia="宋体" w:cs="宋体"/>
                <w:i w:val="0"/>
                <w:iCs w:val="0"/>
                <w:color w:val="000000"/>
                <w:sz w:val="18"/>
                <w:szCs w:val="18"/>
                <w:u w:val="none"/>
              </w:rPr>
            </w:pPr>
          </w:p>
        </w:tc>
        <w:tc>
          <w:tcPr>
            <w:tcW w:w="20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4AEF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EF2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09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全年考核政法干警人数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84F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DC3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2AC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人</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157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42</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D1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DC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147E">
            <w:pPr>
              <w:jc w:val="center"/>
              <w:rPr>
                <w:rFonts w:hint="eastAsia" w:ascii="微软雅黑" w:hAnsi="微软雅黑" w:eastAsia="微软雅黑" w:cs="微软雅黑"/>
                <w:i/>
                <w:iCs/>
                <w:color w:val="000000"/>
                <w:sz w:val="16"/>
                <w:szCs w:val="16"/>
                <w:u w:val="none"/>
              </w:rPr>
            </w:pPr>
          </w:p>
        </w:tc>
      </w:tr>
      <w:tr w14:paraId="2AFA7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7DF8DD">
            <w:pPr>
              <w:jc w:val="center"/>
              <w:rPr>
                <w:rFonts w:hint="eastAsia" w:ascii="宋体" w:hAnsi="宋体" w:eastAsia="宋体" w:cs="宋体"/>
                <w:i w:val="0"/>
                <w:iCs w:val="0"/>
                <w:color w:val="000000"/>
                <w:sz w:val="18"/>
                <w:szCs w:val="18"/>
                <w:u w:val="none"/>
              </w:rPr>
            </w:pPr>
          </w:p>
        </w:tc>
        <w:tc>
          <w:tcPr>
            <w:tcW w:w="2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18E0DA">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73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178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检察官案件办理达标率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971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A0E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1E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B0CD">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D6E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03B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649F4">
            <w:pPr>
              <w:jc w:val="center"/>
              <w:rPr>
                <w:rFonts w:hint="eastAsia" w:ascii="微软雅黑" w:hAnsi="微软雅黑" w:eastAsia="微软雅黑" w:cs="微软雅黑"/>
                <w:i/>
                <w:iCs/>
                <w:color w:val="000000"/>
                <w:sz w:val="16"/>
                <w:szCs w:val="16"/>
                <w:u w:val="none"/>
              </w:rPr>
            </w:pPr>
          </w:p>
        </w:tc>
      </w:tr>
      <w:tr w14:paraId="3058E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14A78">
            <w:pPr>
              <w:jc w:val="center"/>
              <w:rPr>
                <w:rFonts w:hint="eastAsia" w:ascii="宋体" w:hAnsi="宋体" w:eastAsia="宋体" w:cs="宋体"/>
                <w:i w:val="0"/>
                <w:iCs w:val="0"/>
                <w:color w:val="000000"/>
                <w:sz w:val="18"/>
                <w:szCs w:val="18"/>
                <w:u w:val="none"/>
              </w:rPr>
            </w:pPr>
          </w:p>
        </w:tc>
        <w:tc>
          <w:tcPr>
            <w:tcW w:w="2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92700">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18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4F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完成绩效考核及绩效发放时效</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AC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030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12</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703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月</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E9ED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12</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8F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B5A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746C">
            <w:pPr>
              <w:jc w:val="center"/>
              <w:rPr>
                <w:rFonts w:hint="eastAsia" w:ascii="微软雅黑" w:hAnsi="微软雅黑" w:eastAsia="微软雅黑" w:cs="微软雅黑"/>
                <w:i/>
                <w:iCs/>
                <w:color w:val="000000"/>
                <w:sz w:val="16"/>
                <w:szCs w:val="16"/>
                <w:u w:val="none"/>
              </w:rPr>
            </w:pPr>
          </w:p>
        </w:tc>
      </w:tr>
      <w:tr w14:paraId="30BCE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27FA08">
            <w:pPr>
              <w:jc w:val="center"/>
              <w:rPr>
                <w:rFonts w:hint="eastAsia" w:ascii="宋体" w:hAnsi="宋体" w:eastAsia="宋体" w:cs="宋体"/>
                <w:i w:val="0"/>
                <w:iCs w:val="0"/>
                <w:color w:val="000000"/>
                <w:sz w:val="18"/>
                <w:szCs w:val="18"/>
                <w:u w:val="none"/>
              </w:rPr>
            </w:pPr>
          </w:p>
        </w:tc>
        <w:tc>
          <w:tcPr>
            <w:tcW w:w="20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AD20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B3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9B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激发检察内生力量，服务基层社会治理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A0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0F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5AB9A">
            <w:pPr>
              <w:jc w:val="center"/>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C5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1D2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33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19</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E7F66">
            <w:pPr>
              <w:jc w:val="center"/>
              <w:rPr>
                <w:rFonts w:hint="eastAsia" w:ascii="微软雅黑" w:hAnsi="微软雅黑" w:eastAsia="微软雅黑" w:cs="微软雅黑"/>
                <w:i/>
                <w:iCs/>
                <w:color w:val="000000"/>
                <w:sz w:val="16"/>
                <w:szCs w:val="16"/>
                <w:u w:val="none"/>
              </w:rPr>
            </w:pPr>
          </w:p>
        </w:tc>
      </w:tr>
      <w:tr w14:paraId="00481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363448">
            <w:pPr>
              <w:jc w:val="center"/>
              <w:rPr>
                <w:rFonts w:hint="eastAsia" w:ascii="宋体" w:hAnsi="宋体" w:eastAsia="宋体" w:cs="宋体"/>
                <w:i w:val="0"/>
                <w:iCs w:val="0"/>
                <w:color w:val="000000"/>
                <w:sz w:val="18"/>
                <w:szCs w:val="18"/>
                <w:u w:val="none"/>
              </w:rPr>
            </w:pPr>
          </w:p>
        </w:tc>
        <w:tc>
          <w:tcPr>
            <w:tcW w:w="2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BE0A2">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A0A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3D3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检察事业良性发展可持续性</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E1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3E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DB19">
            <w:pPr>
              <w:jc w:val="center"/>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66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F1A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171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0041">
            <w:pPr>
              <w:jc w:val="center"/>
              <w:rPr>
                <w:rFonts w:hint="eastAsia" w:ascii="微软雅黑" w:hAnsi="微软雅黑" w:eastAsia="微软雅黑" w:cs="微软雅黑"/>
                <w:i/>
                <w:iCs/>
                <w:color w:val="000000"/>
                <w:sz w:val="16"/>
                <w:szCs w:val="16"/>
                <w:u w:val="none"/>
              </w:rPr>
            </w:pPr>
          </w:p>
        </w:tc>
      </w:tr>
      <w:tr w14:paraId="5271C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1CF82">
            <w:pPr>
              <w:jc w:val="center"/>
              <w:rPr>
                <w:rFonts w:hint="eastAsia" w:ascii="宋体" w:hAnsi="宋体" w:eastAsia="宋体" w:cs="宋体"/>
                <w:i w:val="0"/>
                <w:iCs w:val="0"/>
                <w:color w:val="000000"/>
                <w:sz w:val="18"/>
                <w:szCs w:val="18"/>
                <w:u w:val="none"/>
              </w:rPr>
            </w:pP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3FD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6B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0B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干警待遇保障满意度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6C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D0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F48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443C">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99%</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EEB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B5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0C613">
            <w:pPr>
              <w:jc w:val="center"/>
              <w:rPr>
                <w:rFonts w:hint="eastAsia" w:ascii="微软雅黑" w:hAnsi="微软雅黑" w:eastAsia="微软雅黑" w:cs="微软雅黑"/>
                <w:i/>
                <w:iCs/>
                <w:color w:val="000000"/>
                <w:sz w:val="16"/>
                <w:szCs w:val="16"/>
                <w:u w:val="none"/>
              </w:rPr>
            </w:pPr>
          </w:p>
        </w:tc>
      </w:tr>
      <w:tr w14:paraId="7F90D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C808E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FC6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B50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99</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D7DE">
            <w:pPr>
              <w:rPr>
                <w:rFonts w:hint="eastAsia" w:ascii="宋体" w:hAnsi="宋体" w:eastAsia="宋体" w:cs="宋体"/>
                <w:i w:val="0"/>
                <w:iCs w:val="0"/>
                <w:color w:val="000000"/>
                <w:sz w:val="18"/>
                <w:szCs w:val="18"/>
                <w:u w:val="none"/>
              </w:rPr>
            </w:pPr>
          </w:p>
        </w:tc>
      </w:tr>
      <w:tr w14:paraId="43638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92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8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991C2F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经自评，该项目自评得分为99分，项目的实施更好的激发了检察干警干事创业热情，为检察事业更优发展注入了强大的内生动力。</w:t>
            </w:r>
          </w:p>
        </w:tc>
      </w:tr>
      <w:tr w14:paraId="221FE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5D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8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18F4FDB">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因存在检察官、检察辅助人员、司法行政人员等几类政法专项编制检察工作人员，单位在绩效考核后的奖金实际分配上存在一定程度分歧。</w:t>
            </w:r>
          </w:p>
        </w:tc>
      </w:tr>
      <w:tr w14:paraId="2492C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905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8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9B28BDC">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建议上级检察院在下级各单位如何具体分配司法绩效能够出台更具体和操作性强的指导意见。</w:t>
            </w:r>
          </w:p>
        </w:tc>
      </w:tr>
      <w:tr w14:paraId="27A54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328C28">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项目负责人：朱灵</w:t>
            </w:r>
          </w:p>
        </w:tc>
        <w:tc>
          <w:tcPr>
            <w:tcW w:w="66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2FED57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财务负责人：杨琳</w:t>
            </w:r>
          </w:p>
        </w:tc>
      </w:tr>
      <w:tr w14:paraId="5BF77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0" w:type="dxa"/>
            <w:tcBorders>
              <w:top w:val="nil"/>
              <w:left w:val="nil"/>
              <w:bottom w:val="nil"/>
              <w:right w:val="nil"/>
            </w:tcBorders>
            <w:shd w:val="clear" w:color="auto" w:fill="auto"/>
            <w:vAlign w:val="center"/>
          </w:tcPr>
          <w:p w14:paraId="4D1DB335">
            <w:pPr>
              <w:rPr>
                <w:rFonts w:hint="eastAsia" w:ascii="宋体" w:hAnsi="宋体" w:eastAsia="宋体" w:cs="宋体"/>
                <w:i w:val="0"/>
                <w:iCs w:val="0"/>
                <w:color w:val="000000"/>
                <w:sz w:val="18"/>
                <w:szCs w:val="18"/>
                <w:u w:val="none"/>
              </w:rPr>
            </w:pPr>
          </w:p>
        </w:tc>
        <w:tc>
          <w:tcPr>
            <w:tcW w:w="2049" w:type="dxa"/>
            <w:tcBorders>
              <w:top w:val="nil"/>
              <w:left w:val="nil"/>
              <w:bottom w:val="nil"/>
              <w:right w:val="nil"/>
            </w:tcBorders>
            <w:shd w:val="clear" w:color="auto" w:fill="auto"/>
            <w:vAlign w:val="center"/>
          </w:tcPr>
          <w:p w14:paraId="04CD5829">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5C911DEF">
            <w:pPr>
              <w:rPr>
                <w:rFonts w:hint="eastAsia" w:ascii="宋体" w:hAnsi="宋体" w:eastAsia="宋体" w:cs="宋体"/>
                <w:i w:val="0"/>
                <w:iCs w:val="0"/>
                <w:color w:val="000000"/>
                <w:sz w:val="18"/>
                <w:szCs w:val="18"/>
                <w:u w:val="none"/>
              </w:rPr>
            </w:pPr>
          </w:p>
        </w:tc>
        <w:tc>
          <w:tcPr>
            <w:tcW w:w="1827" w:type="dxa"/>
            <w:tcBorders>
              <w:top w:val="nil"/>
              <w:left w:val="nil"/>
              <w:bottom w:val="nil"/>
              <w:right w:val="nil"/>
            </w:tcBorders>
            <w:shd w:val="clear" w:color="auto" w:fill="auto"/>
            <w:vAlign w:val="center"/>
          </w:tcPr>
          <w:p w14:paraId="37F9C421">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352882FF">
            <w:pPr>
              <w:rPr>
                <w:rFonts w:hint="eastAsia" w:ascii="宋体" w:hAnsi="宋体" w:eastAsia="宋体" w:cs="宋体"/>
                <w:i w:val="0"/>
                <w:iCs w:val="0"/>
                <w:color w:val="000000"/>
                <w:sz w:val="18"/>
                <w:szCs w:val="18"/>
                <w:u w:val="none"/>
              </w:rPr>
            </w:pPr>
          </w:p>
        </w:tc>
        <w:tc>
          <w:tcPr>
            <w:tcW w:w="1662" w:type="dxa"/>
            <w:tcBorders>
              <w:top w:val="nil"/>
              <w:left w:val="nil"/>
              <w:bottom w:val="nil"/>
              <w:right w:val="nil"/>
            </w:tcBorders>
            <w:shd w:val="clear" w:color="auto" w:fill="auto"/>
            <w:vAlign w:val="center"/>
          </w:tcPr>
          <w:p w14:paraId="3099C9CD">
            <w:pPr>
              <w:rPr>
                <w:rFonts w:hint="eastAsia" w:ascii="宋体" w:hAnsi="宋体" w:eastAsia="宋体" w:cs="宋体"/>
                <w:i w:val="0"/>
                <w:iCs w:val="0"/>
                <w:color w:val="000000"/>
                <w:sz w:val="18"/>
                <w:szCs w:val="18"/>
                <w:u w:val="none"/>
              </w:rPr>
            </w:pPr>
          </w:p>
        </w:tc>
        <w:tc>
          <w:tcPr>
            <w:tcW w:w="465" w:type="dxa"/>
            <w:tcBorders>
              <w:top w:val="nil"/>
              <w:left w:val="nil"/>
              <w:bottom w:val="nil"/>
              <w:right w:val="nil"/>
            </w:tcBorders>
            <w:shd w:val="clear" w:color="auto" w:fill="auto"/>
            <w:vAlign w:val="center"/>
          </w:tcPr>
          <w:p w14:paraId="2B1BE7EB">
            <w:pPr>
              <w:rPr>
                <w:rFonts w:hint="eastAsia" w:ascii="宋体" w:hAnsi="宋体" w:eastAsia="宋体" w:cs="宋体"/>
                <w:i w:val="0"/>
                <w:iCs w:val="0"/>
                <w:color w:val="000000"/>
                <w:sz w:val="18"/>
                <w:szCs w:val="18"/>
                <w:u w:val="none"/>
              </w:rPr>
            </w:pPr>
          </w:p>
        </w:tc>
        <w:tc>
          <w:tcPr>
            <w:tcW w:w="1092" w:type="dxa"/>
            <w:tcBorders>
              <w:top w:val="nil"/>
              <w:left w:val="nil"/>
              <w:bottom w:val="nil"/>
              <w:right w:val="nil"/>
            </w:tcBorders>
            <w:shd w:val="clear" w:color="auto" w:fill="auto"/>
            <w:vAlign w:val="center"/>
          </w:tcPr>
          <w:p w14:paraId="38B1043B">
            <w:pPr>
              <w:rPr>
                <w:rFonts w:hint="eastAsia" w:ascii="宋体" w:hAnsi="宋体" w:eastAsia="宋体" w:cs="宋体"/>
                <w:i w:val="0"/>
                <w:iCs w:val="0"/>
                <w:color w:val="000000"/>
                <w:sz w:val="18"/>
                <w:szCs w:val="18"/>
                <w:u w:val="none"/>
              </w:rPr>
            </w:pPr>
          </w:p>
        </w:tc>
        <w:tc>
          <w:tcPr>
            <w:tcW w:w="506" w:type="dxa"/>
            <w:tcBorders>
              <w:top w:val="nil"/>
              <w:left w:val="nil"/>
              <w:bottom w:val="nil"/>
              <w:right w:val="nil"/>
            </w:tcBorders>
            <w:shd w:val="clear" w:color="auto" w:fill="auto"/>
            <w:vAlign w:val="center"/>
          </w:tcPr>
          <w:p w14:paraId="38BB8500">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14:paraId="777F1F9D">
            <w:pPr>
              <w:rPr>
                <w:rFonts w:hint="eastAsia" w:ascii="宋体" w:hAnsi="宋体" w:eastAsia="宋体" w:cs="宋体"/>
                <w:i w:val="0"/>
                <w:iCs w:val="0"/>
                <w:color w:val="000000"/>
                <w:sz w:val="18"/>
                <w:szCs w:val="18"/>
                <w:u w:val="none"/>
              </w:rPr>
            </w:pPr>
          </w:p>
        </w:tc>
        <w:tc>
          <w:tcPr>
            <w:tcW w:w="2476" w:type="dxa"/>
            <w:tcBorders>
              <w:top w:val="nil"/>
              <w:left w:val="nil"/>
              <w:bottom w:val="nil"/>
              <w:right w:val="nil"/>
            </w:tcBorders>
            <w:shd w:val="clear" w:color="auto" w:fill="auto"/>
            <w:vAlign w:val="center"/>
          </w:tcPr>
          <w:p w14:paraId="6939C2D1">
            <w:pPr>
              <w:rPr>
                <w:rFonts w:hint="eastAsia" w:ascii="宋体" w:hAnsi="宋体" w:eastAsia="宋体" w:cs="宋体"/>
                <w:i w:val="0"/>
                <w:iCs w:val="0"/>
                <w:color w:val="000000"/>
                <w:sz w:val="18"/>
                <w:szCs w:val="18"/>
                <w:u w:val="none"/>
              </w:rPr>
            </w:pPr>
          </w:p>
        </w:tc>
      </w:tr>
      <w:tr w14:paraId="26ADA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135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EE9734D">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7BAAE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9367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7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AE6CA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51030023Y000008351614-荣县人民检察院--办公办案项目</w:t>
            </w:r>
          </w:p>
        </w:tc>
      </w:tr>
      <w:tr w14:paraId="6DB78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B009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2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7E6E4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荣县人民检察院部门</w:t>
            </w:r>
          </w:p>
        </w:tc>
        <w:tc>
          <w:tcPr>
            <w:tcW w:w="1092" w:type="dxa"/>
            <w:tcBorders>
              <w:top w:val="nil"/>
              <w:left w:val="nil"/>
              <w:bottom w:val="nil"/>
              <w:right w:val="nil"/>
            </w:tcBorders>
            <w:shd w:val="clear" w:color="auto" w:fill="auto"/>
            <w:vAlign w:val="center"/>
          </w:tcPr>
          <w:p w14:paraId="426C5444">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A874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荣县人民检察院</w:t>
            </w:r>
          </w:p>
        </w:tc>
      </w:tr>
      <w:tr w14:paraId="484D5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D74F1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8BD3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2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5F2DE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CF5FC7">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19CC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F5399">
            <w:pPr>
              <w:rPr>
                <w:rFonts w:hint="eastAsia" w:ascii="宋体" w:hAnsi="宋体" w:eastAsia="宋体" w:cs="宋体"/>
                <w:i w:val="0"/>
                <w:iCs w:val="0"/>
                <w:color w:val="000000"/>
                <w:sz w:val="18"/>
                <w:szCs w:val="18"/>
                <w:u w:val="none"/>
              </w:rPr>
            </w:pPr>
          </w:p>
        </w:tc>
        <w:tc>
          <w:tcPr>
            <w:tcW w:w="2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BEE900">
            <w:pPr>
              <w:rPr>
                <w:rFonts w:hint="eastAsia" w:ascii="宋体" w:hAnsi="宋体" w:eastAsia="宋体" w:cs="宋体"/>
                <w:i w:val="0"/>
                <w:iCs w:val="0"/>
                <w:color w:val="000000"/>
                <w:sz w:val="18"/>
                <w:szCs w:val="18"/>
                <w:u w:val="none"/>
              </w:rPr>
            </w:pPr>
          </w:p>
        </w:tc>
        <w:tc>
          <w:tcPr>
            <w:tcW w:w="62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0F0B78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根为更好的保障检察机关的日常办公办案，保障协助检察院办案的网格员所需的奖补，激发网格员协助办案的内生动力，保障机关正常行政运行所需办案办公经费、后勤保障支出、工会经费及其它商品服务支出等各项开支。据近三年行政运行需求情况测算</w:t>
            </w:r>
          </w:p>
        </w:tc>
        <w:tc>
          <w:tcPr>
            <w:tcW w:w="45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AEDF9A">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保障我院在职人员46人，聘用人员18人的正常办公办案，坚持稳中求进工作总基调，坚持新发展理念和城乡融合工作，稳步推进刑事、民事、行政、公益诉讼四大检察工作全面平衡充分发展。</w:t>
            </w:r>
          </w:p>
        </w:tc>
      </w:tr>
      <w:tr w14:paraId="107F9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3"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82559">
            <w:pPr>
              <w:rPr>
                <w:rFonts w:hint="eastAsia" w:ascii="宋体" w:hAnsi="宋体" w:eastAsia="宋体" w:cs="宋体"/>
                <w:i w:val="0"/>
                <w:iCs w:val="0"/>
                <w:color w:val="000000"/>
                <w:sz w:val="18"/>
                <w:szCs w:val="18"/>
                <w:u w:val="none"/>
              </w:rPr>
            </w:pP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ABC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7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2801B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保障我院在职人员46人，聘用人员18人的正常办公办案，坚持稳中求进工作总基调，坚持新发展理念和城乡融合工作，稳步推进刑事、民事、行政、公益诉讼四大检察工作全面平衡充分发展。</w:t>
            </w:r>
          </w:p>
        </w:tc>
      </w:tr>
      <w:tr w14:paraId="5ABE0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4CB7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933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FD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4A9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D9A1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7D2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C3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1A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3F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4AB30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8D07AF">
            <w:pPr>
              <w:jc w:val="center"/>
              <w:rPr>
                <w:rFonts w:hint="eastAsia" w:ascii="宋体" w:hAnsi="宋体" w:eastAsia="宋体" w:cs="宋体"/>
                <w:i w:val="0"/>
                <w:iCs w:val="0"/>
                <w:color w:val="000000"/>
                <w:sz w:val="18"/>
                <w:szCs w:val="18"/>
                <w:u w:val="none"/>
              </w:rPr>
            </w:pP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BAF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DF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E6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30.28</w:t>
            </w:r>
          </w:p>
        </w:tc>
        <w:tc>
          <w:tcPr>
            <w:tcW w:w="2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2B04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30.28</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7D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478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58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B77A3A">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75882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DF12EF">
            <w:pPr>
              <w:jc w:val="center"/>
              <w:rPr>
                <w:rFonts w:hint="eastAsia" w:ascii="宋体" w:hAnsi="宋体" w:eastAsia="宋体" w:cs="宋体"/>
                <w:i w:val="0"/>
                <w:iCs w:val="0"/>
                <w:color w:val="000000"/>
                <w:sz w:val="18"/>
                <w:szCs w:val="18"/>
                <w:u w:val="none"/>
              </w:rPr>
            </w:pP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E7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BF4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30.90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524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30.28</w:t>
            </w:r>
          </w:p>
        </w:tc>
        <w:tc>
          <w:tcPr>
            <w:tcW w:w="2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56DC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30.28</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F4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69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84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67FC05">
            <w:pPr>
              <w:rPr>
                <w:rFonts w:hint="eastAsia" w:ascii="黑体" w:hAnsi="黑体" w:eastAsia="黑体" w:cs="黑体"/>
                <w:i/>
                <w:iCs/>
                <w:color w:val="000000"/>
                <w:sz w:val="18"/>
                <w:szCs w:val="18"/>
                <w:u w:val="none"/>
              </w:rPr>
            </w:pPr>
          </w:p>
        </w:tc>
      </w:tr>
      <w:tr w14:paraId="0BAC0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C38B6">
            <w:pPr>
              <w:jc w:val="center"/>
              <w:rPr>
                <w:rFonts w:hint="eastAsia" w:ascii="宋体" w:hAnsi="宋体" w:eastAsia="宋体" w:cs="宋体"/>
                <w:i w:val="0"/>
                <w:iCs w:val="0"/>
                <w:color w:val="000000"/>
                <w:sz w:val="18"/>
                <w:szCs w:val="18"/>
                <w:u w:val="none"/>
              </w:rPr>
            </w:pP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C2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DA7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64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ECAE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DE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337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0B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40207">
            <w:pPr>
              <w:rPr>
                <w:rFonts w:hint="eastAsia" w:ascii="黑体" w:hAnsi="黑体" w:eastAsia="黑体" w:cs="黑体"/>
                <w:i/>
                <w:iCs/>
                <w:color w:val="000000"/>
                <w:sz w:val="18"/>
                <w:szCs w:val="18"/>
                <w:u w:val="none"/>
              </w:rPr>
            </w:pPr>
          </w:p>
        </w:tc>
      </w:tr>
      <w:tr w14:paraId="1EC9A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B3FAF">
            <w:pPr>
              <w:jc w:val="center"/>
              <w:rPr>
                <w:rFonts w:hint="eastAsia" w:ascii="宋体" w:hAnsi="宋体" w:eastAsia="宋体" w:cs="宋体"/>
                <w:i w:val="0"/>
                <w:iCs w:val="0"/>
                <w:color w:val="000000"/>
                <w:sz w:val="18"/>
                <w:szCs w:val="18"/>
                <w:u w:val="none"/>
              </w:rPr>
            </w:pP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C9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A5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840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18E3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2B3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4B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E83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39F23">
            <w:pPr>
              <w:rPr>
                <w:rFonts w:hint="eastAsia" w:ascii="黑体" w:hAnsi="黑体" w:eastAsia="黑体" w:cs="黑体"/>
                <w:i/>
                <w:iCs/>
                <w:color w:val="000000"/>
                <w:sz w:val="18"/>
                <w:szCs w:val="18"/>
                <w:u w:val="none"/>
              </w:rPr>
            </w:pPr>
          </w:p>
        </w:tc>
      </w:tr>
      <w:tr w14:paraId="315A2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257C7">
            <w:pPr>
              <w:jc w:val="center"/>
              <w:rPr>
                <w:rFonts w:hint="eastAsia" w:ascii="宋体" w:hAnsi="宋体" w:eastAsia="宋体" w:cs="宋体"/>
                <w:i w:val="0"/>
                <w:iCs w:val="0"/>
                <w:color w:val="000000"/>
                <w:sz w:val="18"/>
                <w:szCs w:val="18"/>
                <w:u w:val="none"/>
              </w:rPr>
            </w:pP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29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382A9">
            <w:pPr>
              <w:jc w:val="center"/>
              <w:rPr>
                <w:rFonts w:hint="eastAsia" w:ascii="微软雅黑" w:hAnsi="微软雅黑" w:eastAsia="微软雅黑" w:cs="微软雅黑"/>
                <w:i/>
                <w:iCs/>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5CB5">
            <w:pPr>
              <w:jc w:val="center"/>
              <w:rPr>
                <w:rFonts w:hint="eastAsia" w:ascii="微软雅黑" w:hAnsi="微软雅黑" w:eastAsia="微软雅黑" w:cs="微软雅黑"/>
                <w:i/>
                <w:iCs/>
                <w:color w:val="000000"/>
                <w:sz w:val="16"/>
                <w:szCs w:val="16"/>
                <w:u w:val="none"/>
              </w:rPr>
            </w:pPr>
          </w:p>
        </w:tc>
        <w:tc>
          <w:tcPr>
            <w:tcW w:w="2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C8FACE">
            <w:pPr>
              <w:jc w:val="center"/>
              <w:rPr>
                <w:rFonts w:hint="eastAsia" w:ascii="微软雅黑" w:hAnsi="微软雅黑" w:eastAsia="微软雅黑" w:cs="微软雅黑"/>
                <w:i/>
                <w:iCs/>
                <w:color w:val="000000"/>
                <w:sz w:val="16"/>
                <w:szCs w:val="16"/>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E980">
            <w:pPr>
              <w:jc w:val="center"/>
              <w:rPr>
                <w:rFonts w:hint="eastAsia" w:ascii="微软雅黑" w:hAnsi="微软雅黑" w:eastAsia="微软雅黑" w:cs="微软雅黑"/>
                <w:i/>
                <w:iCs/>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EA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C1C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31D602">
            <w:pPr>
              <w:rPr>
                <w:rFonts w:hint="eastAsia" w:ascii="黑体" w:hAnsi="黑体" w:eastAsia="黑体" w:cs="黑体"/>
                <w:i/>
                <w:iCs/>
                <w:color w:val="000000"/>
                <w:sz w:val="18"/>
                <w:szCs w:val="18"/>
                <w:u w:val="none"/>
              </w:rPr>
            </w:pPr>
          </w:p>
        </w:tc>
      </w:tr>
      <w:tr w14:paraId="799E7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3EEF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79B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F7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CE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A1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343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04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8E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04B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36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06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60B97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EA3B9E">
            <w:pPr>
              <w:jc w:val="center"/>
              <w:rPr>
                <w:rFonts w:hint="eastAsia" w:ascii="宋体" w:hAnsi="宋体" w:eastAsia="宋体" w:cs="宋体"/>
                <w:i w:val="0"/>
                <w:iCs w:val="0"/>
                <w:color w:val="000000"/>
                <w:sz w:val="18"/>
                <w:szCs w:val="18"/>
                <w:u w:val="none"/>
              </w:rPr>
            </w:pPr>
          </w:p>
        </w:tc>
        <w:tc>
          <w:tcPr>
            <w:tcW w:w="20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BF4D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70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B3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公诉、批捕案件办理数量</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6C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F33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400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43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案件数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9FC5">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438</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37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448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EAB0">
            <w:pPr>
              <w:jc w:val="center"/>
              <w:rPr>
                <w:rFonts w:hint="eastAsia" w:ascii="微软雅黑" w:hAnsi="微软雅黑" w:eastAsia="微软雅黑" w:cs="微软雅黑"/>
                <w:i/>
                <w:iCs/>
                <w:color w:val="000000"/>
                <w:sz w:val="16"/>
                <w:szCs w:val="16"/>
                <w:u w:val="none"/>
              </w:rPr>
            </w:pPr>
          </w:p>
        </w:tc>
      </w:tr>
      <w:tr w14:paraId="28862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6392B">
            <w:pPr>
              <w:jc w:val="center"/>
              <w:rPr>
                <w:rFonts w:hint="eastAsia" w:ascii="宋体" w:hAnsi="宋体" w:eastAsia="宋体" w:cs="宋体"/>
                <w:i w:val="0"/>
                <w:iCs w:val="0"/>
                <w:color w:val="000000"/>
                <w:sz w:val="18"/>
                <w:szCs w:val="18"/>
                <w:u w:val="none"/>
              </w:rPr>
            </w:pPr>
          </w:p>
        </w:tc>
        <w:tc>
          <w:tcPr>
            <w:tcW w:w="2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7BD1C">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3AE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4F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案件办理质量达标率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38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55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EF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92B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7A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86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1923E">
            <w:pPr>
              <w:jc w:val="center"/>
              <w:rPr>
                <w:rFonts w:hint="eastAsia" w:ascii="微软雅黑" w:hAnsi="微软雅黑" w:eastAsia="微软雅黑" w:cs="微软雅黑"/>
                <w:i/>
                <w:iCs/>
                <w:color w:val="000000"/>
                <w:sz w:val="16"/>
                <w:szCs w:val="16"/>
                <w:u w:val="none"/>
              </w:rPr>
            </w:pPr>
          </w:p>
        </w:tc>
      </w:tr>
      <w:tr w14:paraId="4A7F9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91A092">
            <w:pPr>
              <w:jc w:val="center"/>
              <w:rPr>
                <w:rFonts w:hint="eastAsia" w:ascii="宋体" w:hAnsi="宋体" w:eastAsia="宋体" w:cs="宋体"/>
                <w:i w:val="0"/>
                <w:iCs w:val="0"/>
                <w:color w:val="000000"/>
                <w:sz w:val="18"/>
                <w:szCs w:val="18"/>
                <w:u w:val="none"/>
              </w:rPr>
            </w:pPr>
          </w:p>
        </w:tc>
        <w:tc>
          <w:tcPr>
            <w:tcW w:w="2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FDC3B9">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74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64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信访、控申工作处理及时性</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618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72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58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个工作日</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C2E8">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5</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04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71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771F">
            <w:pPr>
              <w:jc w:val="center"/>
              <w:rPr>
                <w:rFonts w:hint="eastAsia" w:ascii="微软雅黑" w:hAnsi="微软雅黑" w:eastAsia="微软雅黑" w:cs="微软雅黑"/>
                <w:i/>
                <w:iCs/>
                <w:color w:val="000000"/>
                <w:sz w:val="16"/>
                <w:szCs w:val="16"/>
                <w:u w:val="none"/>
              </w:rPr>
            </w:pPr>
          </w:p>
        </w:tc>
      </w:tr>
      <w:tr w14:paraId="5E67C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E43BEE">
            <w:pPr>
              <w:jc w:val="center"/>
              <w:rPr>
                <w:rFonts w:hint="eastAsia" w:ascii="宋体" w:hAnsi="宋体" w:eastAsia="宋体" w:cs="宋体"/>
                <w:i w:val="0"/>
                <w:iCs w:val="0"/>
                <w:color w:val="000000"/>
                <w:sz w:val="18"/>
                <w:szCs w:val="18"/>
                <w:u w:val="none"/>
              </w:rPr>
            </w:pPr>
          </w:p>
        </w:tc>
        <w:tc>
          <w:tcPr>
            <w:tcW w:w="20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24A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0C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经济效益指标</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BA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打击经济犯罪，服务地方经济发展</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12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D50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F3AE">
            <w:pPr>
              <w:jc w:val="center"/>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CB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80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63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921C5">
            <w:pPr>
              <w:jc w:val="center"/>
              <w:rPr>
                <w:rFonts w:hint="eastAsia" w:ascii="微软雅黑" w:hAnsi="微软雅黑" w:eastAsia="微软雅黑" w:cs="微软雅黑"/>
                <w:i/>
                <w:iCs/>
                <w:color w:val="000000"/>
                <w:sz w:val="16"/>
                <w:szCs w:val="16"/>
                <w:u w:val="none"/>
              </w:rPr>
            </w:pPr>
          </w:p>
        </w:tc>
      </w:tr>
      <w:tr w14:paraId="1E456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7D3664">
            <w:pPr>
              <w:jc w:val="center"/>
              <w:rPr>
                <w:rFonts w:hint="eastAsia" w:ascii="宋体" w:hAnsi="宋体" w:eastAsia="宋体" w:cs="宋体"/>
                <w:i w:val="0"/>
                <w:iCs w:val="0"/>
                <w:color w:val="000000"/>
                <w:sz w:val="18"/>
                <w:szCs w:val="18"/>
                <w:u w:val="none"/>
              </w:rPr>
            </w:pPr>
          </w:p>
        </w:tc>
        <w:tc>
          <w:tcPr>
            <w:tcW w:w="2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6B864">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DA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43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服务地方社会治理</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45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ACE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5736">
            <w:pPr>
              <w:jc w:val="center"/>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35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E63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9C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E114">
            <w:pPr>
              <w:jc w:val="center"/>
              <w:rPr>
                <w:rFonts w:hint="eastAsia" w:ascii="微软雅黑" w:hAnsi="微软雅黑" w:eastAsia="微软雅黑" w:cs="微软雅黑"/>
                <w:i/>
                <w:iCs/>
                <w:color w:val="000000"/>
                <w:sz w:val="16"/>
                <w:szCs w:val="16"/>
                <w:u w:val="none"/>
              </w:rPr>
            </w:pPr>
          </w:p>
        </w:tc>
      </w:tr>
      <w:tr w14:paraId="3E102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911DF">
            <w:pPr>
              <w:jc w:val="center"/>
              <w:rPr>
                <w:rFonts w:hint="eastAsia" w:ascii="宋体" w:hAnsi="宋体" w:eastAsia="宋体" w:cs="宋体"/>
                <w:i w:val="0"/>
                <w:iCs w:val="0"/>
                <w:color w:val="000000"/>
                <w:sz w:val="18"/>
                <w:szCs w:val="18"/>
                <w:u w:val="none"/>
              </w:rPr>
            </w:pP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B5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63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E24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群众对检察院案件办理满意度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0EF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21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A3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ACFCE">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98%</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B4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DA3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B940">
            <w:pPr>
              <w:jc w:val="center"/>
              <w:rPr>
                <w:rFonts w:hint="eastAsia" w:ascii="微软雅黑" w:hAnsi="微软雅黑" w:eastAsia="微软雅黑" w:cs="微软雅黑"/>
                <w:i/>
                <w:iCs/>
                <w:color w:val="000000"/>
                <w:sz w:val="16"/>
                <w:szCs w:val="16"/>
                <w:u w:val="none"/>
              </w:rPr>
            </w:pPr>
          </w:p>
        </w:tc>
      </w:tr>
      <w:tr w14:paraId="3C4E8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7318F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90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166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FD6F3">
            <w:pPr>
              <w:rPr>
                <w:rFonts w:hint="eastAsia" w:ascii="宋体" w:hAnsi="宋体" w:eastAsia="宋体" w:cs="宋体"/>
                <w:i w:val="0"/>
                <w:iCs w:val="0"/>
                <w:color w:val="000000"/>
                <w:sz w:val="18"/>
                <w:szCs w:val="18"/>
                <w:u w:val="none"/>
              </w:rPr>
            </w:pPr>
          </w:p>
        </w:tc>
      </w:tr>
      <w:tr w14:paraId="476481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00C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8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D6EDE21">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经自评，该项目自评得分为98分，该项目的实施，为开展扫黑除恶常态化斗争、依法严厉打击严重暴力犯罪、多发性侵财犯罪，防范化解重大金融风险、依法严惩涉众型经济犯罪、筑牢禁毒综合防线等一系列检察业务工作提供了保障，为推动建设更高水平的平安荣县贡献了检察智慧。</w:t>
            </w:r>
          </w:p>
        </w:tc>
      </w:tr>
      <w:tr w14:paraId="4E7DC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85D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8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BED8F9A">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预算编制时对各业务部门的具体需求不够了解，具体开支标准以及最终实施效果无法精准把握。</w:t>
            </w:r>
          </w:p>
        </w:tc>
      </w:tr>
      <w:tr w14:paraId="1BAC0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6F6C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8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60C5DB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一是细化预算编制工作，认真做好预算的编制。二是进一步加强单位内部机构各科室的预算管理意识。</w:t>
            </w:r>
          </w:p>
        </w:tc>
      </w:tr>
      <w:tr w14:paraId="59E4A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81592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项目负责人：周永亮</w:t>
            </w:r>
          </w:p>
        </w:tc>
        <w:tc>
          <w:tcPr>
            <w:tcW w:w="66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47B17D">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财务负责人：杨琳</w:t>
            </w:r>
          </w:p>
        </w:tc>
      </w:tr>
      <w:tr w14:paraId="50A10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0" w:type="dxa"/>
            <w:tcBorders>
              <w:top w:val="nil"/>
              <w:left w:val="nil"/>
              <w:bottom w:val="nil"/>
              <w:right w:val="nil"/>
            </w:tcBorders>
            <w:shd w:val="clear" w:color="auto" w:fill="auto"/>
            <w:vAlign w:val="center"/>
          </w:tcPr>
          <w:p w14:paraId="593E037E">
            <w:pPr>
              <w:rPr>
                <w:rFonts w:hint="eastAsia" w:ascii="宋体" w:hAnsi="宋体" w:eastAsia="宋体" w:cs="宋体"/>
                <w:i w:val="0"/>
                <w:iCs w:val="0"/>
                <w:color w:val="000000"/>
                <w:sz w:val="18"/>
                <w:szCs w:val="18"/>
                <w:u w:val="none"/>
              </w:rPr>
            </w:pPr>
          </w:p>
        </w:tc>
        <w:tc>
          <w:tcPr>
            <w:tcW w:w="2049" w:type="dxa"/>
            <w:tcBorders>
              <w:top w:val="nil"/>
              <w:left w:val="nil"/>
              <w:bottom w:val="nil"/>
              <w:right w:val="nil"/>
            </w:tcBorders>
            <w:shd w:val="clear" w:color="auto" w:fill="auto"/>
            <w:vAlign w:val="center"/>
          </w:tcPr>
          <w:p w14:paraId="6283DBB7">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0569B46F">
            <w:pPr>
              <w:rPr>
                <w:rFonts w:hint="eastAsia" w:ascii="宋体" w:hAnsi="宋体" w:eastAsia="宋体" w:cs="宋体"/>
                <w:i w:val="0"/>
                <w:iCs w:val="0"/>
                <w:color w:val="000000"/>
                <w:sz w:val="18"/>
                <w:szCs w:val="18"/>
                <w:u w:val="none"/>
              </w:rPr>
            </w:pPr>
          </w:p>
        </w:tc>
        <w:tc>
          <w:tcPr>
            <w:tcW w:w="1827" w:type="dxa"/>
            <w:tcBorders>
              <w:top w:val="nil"/>
              <w:left w:val="nil"/>
              <w:bottom w:val="nil"/>
              <w:right w:val="nil"/>
            </w:tcBorders>
            <w:shd w:val="clear" w:color="auto" w:fill="auto"/>
            <w:vAlign w:val="center"/>
          </w:tcPr>
          <w:p w14:paraId="7EF9136F">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22CA57DE">
            <w:pPr>
              <w:rPr>
                <w:rFonts w:hint="eastAsia" w:ascii="宋体" w:hAnsi="宋体" w:eastAsia="宋体" w:cs="宋体"/>
                <w:i w:val="0"/>
                <w:iCs w:val="0"/>
                <w:color w:val="000000"/>
                <w:sz w:val="18"/>
                <w:szCs w:val="18"/>
                <w:u w:val="none"/>
              </w:rPr>
            </w:pPr>
          </w:p>
        </w:tc>
        <w:tc>
          <w:tcPr>
            <w:tcW w:w="1662" w:type="dxa"/>
            <w:tcBorders>
              <w:top w:val="nil"/>
              <w:left w:val="nil"/>
              <w:bottom w:val="nil"/>
              <w:right w:val="nil"/>
            </w:tcBorders>
            <w:shd w:val="clear" w:color="auto" w:fill="auto"/>
            <w:vAlign w:val="center"/>
          </w:tcPr>
          <w:p w14:paraId="7B6F57FF">
            <w:pPr>
              <w:rPr>
                <w:rFonts w:hint="eastAsia" w:ascii="宋体" w:hAnsi="宋体" w:eastAsia="宋体" w:cs="宋体"/>
                <w:i w:val="0"/>
                <w:iCs w:val="0"/>
                <w:color w:val="000000"/>
                <w:sz w:val="18"/>
                <w:szCs w:val="18"/>
                <w:u w:val="none"/>
              </w:rPr>
            </w:pPr>
          </w:p>
        </w:tc>
        <w:tc>
          <w:tcPr>
            <w:tcW w:w="465" w:type="dxa"/>
            <w:tcBorders>
              <w:top w:val="nil"/>
              <w:left w:val="nil"/>
              <w:bottom w:val="nil"/>
              <w:right w:val="nil"/>
            </w:tcBorders>
            <w:shd w:val="clear" w:color="auto" w:fill="auto"/>
            <w:vAlign w:val="center"/>
          </w:tcPr>
          <w:p w14:paraId="4313D290">
            <w:pPr>
              <w:rPr>
                <w:rFonts w:hint="eastAsia" w:ascii="宋体" w:hAnsi="宋体" w:eastAsia="宋体" w:cs="宋体"/>
                <w:i w:val="0"/>
                <w:iCs w:val="0"/>
                <w:color w:val="000000"/>
                <w:sz w:val="18"/>
                <w:szCs w:val="18"/>
                <w:u w:val="none"/>
              </w:rPr>
            </w:pPr>
          </w:p>
        </w:tc>
        <w:tc>
          <w:tcPr>
            <w:tcW w:w="1092" w:type="dxa"/>
            <w:tcBorders>
              <w:top w:val="nil"/>
              <w:left w:val="nil"/>
              <w:bottom w:val="nil"/>
              <w:right w:val="nil"/>
            </w:tcBorders>
            <w:shd w:val="clear" w:color="auto" w:fill="auto"/>
            <w:vAlign w:val="center"/>
          </w:tcPr>
          <w:p w14:paraId="2B895468">
            <w:pPr>
              <w:rPr>
                <w:rFonts w:hint="eastAsia" w:ascii="宋体" w:hAnsi="宋体" w:eastAsia="宋体" w:cs="宋体"/>
                <w:i w:val="0"/>
                <w:iCs w:val="0"/>
                <w:color w:val="000000"/>
                <w:sz w:val="18"/>
                <w:szCs w:val="18"/>
                <w:u w:val="none"/>
              </w:rPr>
            </w:pPr>
          </w:p>
        </w:tc>
        <w:tc>
          <w:tcPr>
            <w:tcW w:w="506" w:type="dxa"/>
            <w:tcBorders>
              <w:top w:val="nil"/>
              <w:left w:val="nil"/>
              <w:bottom w:val="nil"/>
              <w:right w:val="nil"/>
            </w:tcBorders>
            <w:shd w:val="clear" w:color="auto" w:fill="auto"/>
            <w:vAlign w:val="center"/>
          </w:tcPr>
          <w:p w14:paraId="278D3AE4">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14:paraId="153B58C7">
            <w:pPr>
              <w:rPr>
                <w:rFonts w:hint="eastAsia" w:ascii="宋体" w:hAnsi="宋体" w:eastAsia="宋体" w:cs="宋体"/>
                <w:i w:val="0"/>
                <w:iCs w:val="0"/>
                <w:color w:val="000000"/>
                <w:sz w:val="18"/>
                <w:szCs w:val="18"/>
                <w:u w:val="none"/>
              </w:rPr>
            </w:pPr>
          </w:p>
        </w:tc>
        <w:tc>
          <w:tcPr>
            <w:tcW w:w="2476" w:type="dxa"/>
            <w:tcBorders>
              <w:top w:val="nil"/>
              <w:left w:val="nil"/>
              <w:bottom w:val="nil"/>
              <w:right w:val="nil"/>
            </w:tcBorders>
            <w:shd w:val="clear" w:color="auto" w:fill="auto"/>
            <w:vAlign w:val="center"/>
          </w:tcPr>
          <w:p w14:paraId="6B54CF7D">
            <w:pPr>
              <w:rPr>
                <w:rFonts w:hint="eastAsia" w:ascii="宋体" w:hAnsi="宋体" w:eastAsia="宋体" w:cs="宋体"/>
                <w:i w:val="0"/>
                <w:iCs w:val="0"/>
                <w:color w:val="000000"/>
                <w:sz w:val="18"/>
                <w:szCs w:val="18"/>
                <w:u w:val="none"/>
              </w:rPr>
            </w:pPr>
          </w:p>
        </w:tc>
      </w:tr>
      <w:tr w14:paraId="13A55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135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FFB6A35">
            <w:pPr>
              <w:keepNext w:val="0"/>
              <w:keepLines w:val="0"/>
              <w:widowControl/>
              <w:suppressLineNumbers w:val="0"/>
              <w:jc w:val="center"/>
              <w:textAlignment w:val="center"/>
              <w:rPr>
                <w:rFonts w:hint="eastAsia" w:ascii="黑体" w:hAnsi="宋体" w:eastAsia="黑体" w:cs="黑体"/>
                <w:b/>
                <w:bCs/>
                <w:i w:val="0"/>
                <w:iCs w:val="0"/>
                <w:color w:val="000000"/>
                <w:sz w:val="30"/>
                <w:szCs w:val="30"/>
                <w:u w:val="none"/>
              </w:rPr>
            </w:pPr>
            <w:r>
              <w:rPr>
                <w:rFonts w:hint="eastAsia" w:ascii="黑体" w:hAnsi="宋体" w:eastAsia="黑体" w:cs="黑体"/>
                <w:b/>
                <w:bCs/>
                <w:i w:val="0"/>
                <w:iCs w:val="0"/>
                <w:color w:val="000000"/>
                <w:kern w:val="0"/>
                <w:sz w:val="30"/>
                <w:szCs w:val="30"/>
                <w:u w:val="none"/>
                <w:lang w:val="en-US" w:eastAsia="zh-CN" w:bidi="ar"/>
              </w:rPr>
              <w:t>部门预算项目支出绩效自评表（2023年度）</w:t>
            </w:r>
          </w:p>
        </w:tc>
      </w:tr>
      <w:tr w14:paraId="1D581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5930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项目名称</w:t>
            </w:r>
          </w:p>
        </w:tc>
        <w:tc>
          <w:tcPr>
            <w:tcW w:w="107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E1C170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51030023Y000008602623-荣县人民检察院--司法救助</w:t>
            </w:r>
          </w:p>
        </w:tc>
      </w:tr>
      <w:tr w14:paraId="2F6F2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27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CE33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主管部门</w:t>
            </w:r>
          </w:p>
        </w:tc>
        <w:tc>
          <w:tcPr>
            <w:tcW w:w="62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C08F4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荣县人民检察院部门</w:t>
            </w:r>
          </w:p>
        </w:tc>
        <w:tc>
          <w:tcPr>
            <w:tcW w:w="1092" w:type="dxa"/>
            <w:tcBorders>
              <w:top w:val="nil"/>
              <w:left w:val="nil"/>
              <w:bottom w:val="nil"/>
              <w:right w:val="nil"/>
            </w:tcBorders>
            <w:shd w:val="clear" w:color="auto" w:fill="auto"/>
            <w:vAlign w:val="center"/>
          </w:tcPr>
          <w:p w14:paraId="7AF09C65">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实施单位 （盖章）</w:t>
            </w:r>
          </w:p>
        </w:tc>
        <w:tc>
          <w:tcPr>
            <w:tcW w:w="343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257F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荣县人民检察院</w:t>
            </w:r>
          </w:p>
        </w:tc>
      </w:tr>
      <w:tr w14:paraId="1EADE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87B83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项目基本情况</w:t>
            </w:r>
          </w:p>
        </w:tc>
        <w:tc>
          <w:tcPr>
            <w:tcW w:w="20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47C82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1.项目年度目标完成情况</w:t>
            </w:r>
          </w:p>
        </w:tc>
        <w:tc>
          <w:tcPr>
            <w:tcW w:w="62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9C8A8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项目年度目标</w:t>
            </w:r>
          </w:p>
        </w:tc>
        <w:tc>
          <w:tcPr>
            <w:tcW w:w="45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EBF712">
            <w:pPr>
              <w:keepNext w:val="0"/>
              <w:keepLines w:val="0"/>
              <w:widowControl/>
              <w:suppressLineNumbers w:val="0"/>
              <w:jc w:val="center"/>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年度目标完成情况</w:t>
            </w:r>
          </w:p>
        </w:tc>
      </w:tr>
      <w:tr w14:paraId="486BB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D5BB6F">
            <w:pPr>
              <w:rPr>
                <w:rFonts w:hint="eastAsia" w:ascii="宋体" w:hAnsi="宋体" w:eastAsia="宋体" w:cs="宋体"/>
                <w:i w:val="0"/>
                <w:iCs w:val="0"/>
                <w:color w:val="000000"/>
                <w:sz w:val="18"/>
                <w:szCs w:val="18"/>
                <w:u w:val="none"/>
              </w:rPr>
            </w:pPr>
          </w:p>
        </w:tc>
        <w:tc>
          <w:tcPr>
            <w:tcW w:w="2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9CABF">
            <w:pPr>
              <w:rPr>
                <w:rFonts w:hint="eastAsia" w:ascii="宋体" w:hAnsi="宋体" w:eastAsia="宋体" w:cs="宋体"/>
                <w:i w:val="0"/>
                <w:iCs w:val="0"/>
                <w:color w:val="000000"/>
                <w:sz w:val="18"/>
                <w:szCs w:val="18"/>
                <w:u w:val="none"/>
              </w:rPr>
            </w:pPr>
          </w:p>
        </w:tc>
        <w:tc>
          <w:tcPr>
            <w:tcW w:w="62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CCCE46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为更好的服务地方经济社会发展，以检察司法力量为人民群众人身权益保驾护航，为地方构建和谐稳定的社会治安环境贡献检察力量。</w:t>
            </w:r>
          </w:p>
        </w:tc>
        <w:tc>
          <w:tcPr>
            <w:tcW w:w="45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E1934F">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2023年我院在改善民生，构建更完善的社会保障体系上投入司法救助，做出了检察贡献，司法救助金的及时发放，解决了困难群众燃眉之急，有效化解矛盾纠纷，体现检察关爱。</w:t>
            </w:r>
          </w:p>
        </w:tc>
      </w:tr>
      <w:tr w14:paraId="069CF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912FC">
            <w:pPr>
              <w:rPr>
                <w:rFonts w:hint="eastAsia" w:ascii="宋体" w:hAnsi="宋体" w:eastAsia="宋体" w:cs="宋体"/>
                <w:i w:val="0"/>
                <w:iCs w:val="0"/>
                <w:color w:val="000000"/>
                <w:sz w:val="18"/>
                <w:szCs w:val="18"/>
                <w:u w:val="none"/>
              </w:rPr>
            </w:pP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8E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2.项目实施内容及过程概述</w:t>
            </w:r>
          </w:p>
        </w:tc>
        <w:tc>
          <w:tcPr>
            <w:tcW w:w="1077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FD704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进入检察办案体系中有的刑事犯罪案件、民事侵权案件，因被告人没有赔偿能力或赔偿能力不足，致使被害人及其近亲属依法得不到有效赔偿，生活陷入困境，经审查核实符合司法救助条件后，我院开展相关救助工作，并发放司法救助金。</w:t>
            </w:r>
          </w:p>
        </w:tc>
      </w:tr>
      <w:tr w14:paraId="07D17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AA96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预算执行情况（10分）</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55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年度预算数（万元）</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8C8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年初预算</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692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调整后预算数</w:t>
            </w:r>
          </w:p>
        </w:tc>
        <w:tc>
          <w:tcPr>
            <w:tcW w:w="2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EE40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预算执行数</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AC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预算执行率</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89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2BB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EE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原因</w:t>
            </w:r>
          </w:p>
        </w:tc>
      </w:tr>
      <w:tr w14:paraId="2D788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FE100">
            <w:pPr>
              <w:jc w:val="center"/>
              <w:rPr>
                <w:rFonts w:hint="eastAsia" w:ascii="宋体" w:hAnsi="宋体" w:eastAsia="宋体" w:cs="宋体"/>
                <w:i w:val="0"/>
                <w:iCs w:val="0"/>
                <w:color w:val="000000"/>
                <w:sz w:val="18"/>
                <w:szCs w:val="18"/>
                <w:u w:val="none"/>
              </w:rPr>
            </w:pP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4A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总额</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22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71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7.50</w:t>
            </w:r>
          </w:p>
        </w:tc>
        <w:tc>
          <w:tcPr>
            <w:tcW w:w="2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08F3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5F3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8A7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5A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4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FFF161">
            <w:pPr>
              <w:keepNext w:val="0"/>
              <w:keepLines w:val="0"/>
              <w:widowControl/>
              <w:suppressLineNumbers w:val="0"/>
              <w:jc w:val="left"/>
              <w:textAlignment w:val="center"/>
              <w:rPr>
                <w:rFonts w:hint="eastAsia" w:ascii="黑体" w:hAnsi="黑体" w:eastAsia="黑体" w:cs="黑体"/>
                <w:i/>
                <w:iCs/>
                <w:color w:val="000000"/>
                <w:sz w:val="18"/>
                <w:szCs w:val="18"/>
                <w:u w:val="none"/>
              </w:rPr>
            </w:pPr>
            <w:r>
              <w:rPr>
                <w:rFonts w:hint="eastAsia" w:ascii="黑体" w:hAnsi="黑体" w:eastAsia="黑体" w:cs="黑体"/>
                <w:i/>
                <w:iCs/>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14:paraId="6329D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3E3ACB">
            <w:pPr>
              <w:jc w:val="center"/>
              <w:rPr>
                <w:rFonts w:hint="eastAsia" w:ascii="宋体" w:hAnsi="宋体" w:eastAsia="宋体" w:cs="宋体"/>
                <w:i w:val="0"/>
                <w:iCs w:val="0"/>
                <w:color w:val="000000"/>
                <w:sz w:val="18"/>
                <w:szCs w:val="18"/>
                <w:u w:val="none"/>
              </w:rPr>
            </w:pP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FB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其中：财政资金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EEF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DC3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7.50</w:t>
            </w:r>
          </w:p>
        </w:tc>
        <w:tc>
          <w:tcPr>
            <w:tcW w:w="2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6F27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7.50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58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100.00%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F5A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ACE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5B3B9">
            <w:pPr>
              <w:rPr>
                <w:rFonts w:hint="eastAsia" w:ascii="黑体" w:hAnsi="黑体" w:eastAsia="黑体" w:cs="黑体"/>
                <w:i/>
                <w:iCs/>
                <w:color w:val="000000"/>
                <w:sz w:val="18"/>
                <w:szCs w:val="18"/>
                <w:u w:val="none"/>
              </w:rPr>
            </w:pPr>
          </w:p>
        </w:tc>
      </w:tr>
      <w:tr w14:paraId="282B2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FA606">
            <w:pPr>
              <w:jc w:val="center"/>
              <w:rPr>
                <w:rFonts w:hint="eastAsia" w:ascii="宋体" w:hAnsi="宋体" w:eastAsia="宋体" w:cs="宋体"/>
                <w:i w:val="0"/>
                <w:iCs w:val="0"/>
                <w:color w:val="000000"/>
                <w:sz w:val="18"/>
                <w:szCs w:val="18"/>
                <w:u w:val="none"/>
              </w:rPr>
            </w:pP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B0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财政专户管理资金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B85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51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5979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704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29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C2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79A46">
            <w:pPr>
              <w:rPr>
                <w:rFonts w:hint="eastAsia" w:ascii="黑体" w:hAnsi="黑体" w:eastAsia="黑体" w:cs="黑体"/>
                <w:i/>
                <w:iCs/>
                <w:color w:val="000000"/>
                <w:sz w:val="18"/>
                <w:szCs w:val="18"/>
                <w:u w:val="none"/>
              </w:rPr>
            </w:pPr>
          </w:p>
        </w:tc>
      </w:tr>
      <w:tr w14:paraId="4BF1D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A7F05">
            <w:pPr>
              <w:jc w:val="center"/>
              <w:rPr>
                <w:rFonts w:hint="eastAsia" w:ascii="宋体" w:hAnsi="宋体" w:eastAsia="宋体" w:cs="宋体"/>
                <w:i w:val="0"/>
                <w:iCs w:val="0"/>
                <w:color w:val="000000"/>
                <w:sz w:val="18"/>
                <w:szCs w:val="18"/>
                <w:u w:val="none"/>
              </w:rPr>
            </w:pP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D6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C5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AB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2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B1B1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364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0.00%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F2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5B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BFE55">
            <w:pPr>
              <w:rPr>
                <w:rFonts w:hint="eastAsia" w:ascii="黑体" w:hAnsi="黑体" w:eastAsia="黑体" w:cs="黑体"/>
                <w:i/>
                <w:iCs/>
                <w:color w:val="000000"/>
                <w:sz w:val="18"/>
                <w:szCs w:val="18"/>
                <w:u w:val="none"/>
              </w:rPr>
            </w:pPr>
          </w:p>
        </w:tc>
      </w:tr>
      <w:tr w14:paraId="2D9B1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8F61A">
            <w:pPr>
              <w:jc w:val="center"/>
              <w:rPr>
                <w:rFonts w:hint="eastAsia" w:ascii="宋体" w:hAnsi="宋体" w:eastAsia="宋体" w:cs="宋体"/>
                <w:i w:val="0"/>
                <w:iCs w:val="0"/>
                <w:color w:val="000000"/>
                <w:sz w:val="18"/>
                <w:szCs w:val="18"/>
                <w:u w:val="none"/>
              </w:rPr>
            </w:pP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A52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其他资金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EA0E">
            <w:pPr>
              <w:jc w:val="center"/>
              <w:rPr>
                <w:rFonts w:hint="eastAsia" w:ascii="微软雅黑" w:hAnsi="微软雅黑" w:eastAsia="微软雅黑" w:cs="微软雅黑"/>
                <w:i/>
                <w:iCs/>
                <w:color w:val="000000"/>
                <w:sz w:val="16"/>
                <w:szCs w:val="16"/>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A7F4">
            <w:pPr>
              <w:jc w:val="center"/>
              <w:rPr>
                <w:rFonts w:hint="eastAsia" w:ascii="微软雅黑" w:hAnsi="微软雅黑" w:eastAsia="微软雅黑" w:cs="微软雅黑"/>
                <w:i/>
                <w:iCs/>
                <w:color w:val="000000"/>
                <w:sz w:val="16"/>
                <w:szCs w:val="16"/>
                <w:u w:val="none"/>
              </w:rPr>
            </w:pPr>
          </w:p>
        </w:tc>
        <w:tc>
          <w:tcPr>
            <w:tcW w:w="2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B567DD">
            <w:pPr>
              <w:jc w:val="center"/>
              <w:rPr>
                <w:rFonts w:hint="eastAsia" w:ascii="微软雅黑" w:hAnsi="微软雅黑" w:eastAsia="微软雅黑" w:cs="微软雅黑"/>
                <w:i/>
                <w:iCs/>
                <w:color w:val="000000"/>
                <w:sz w:val="16"/>
                <w:szCs w:val="16"/>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0325B">
            <w:pPr>
              <w:jc w:val="center"/>
              <w:rPr>
                <w:rFonts w:hint="eastAsia" w:ascii="微软雅黑" w:hAnsi="微软雅黑" w:eastAsia="微软雅黑" w:cs="微软雅黑"/>
                <w:i/>
                <w:iCs/>
                <w:color w:val="000000"/>
                <w:sz w:val="16"/>
                <w:szCs w:val="16"/>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40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61E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24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D24E4">
            <w:pPr>
              <w:rPr>
                <w:rFonts w:hint="eastAsia" w:ascii="黑体" w:hAnsi="黑体" w:eastAsia="黑体" w:cs="黑体"/>
                <w:i/>
                <w:iCs/>
                <w:color w:val="000000"/>
                <w:sz w:val="18"/>
                <w:szCs w:val="18"/>
                <w:u w:val="none"/>
              </w:rPr>
            </w:pPr>
          </w:p>
        </w:tc>
      </w:tr>
      <w:tr w14:paraId="6D5B0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028D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绩效指标（90分）</w:t>
            </w: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90C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一级指标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99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二级指标</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04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三级指标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AC6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指标性质</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E36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指标值</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2EE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度量单位</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D3A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完成值</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F23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权重</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A5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得分</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F5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未完成原因分析</w:t>
            </w:r>
          </w:p>
        </w:tc>
      </w:tr>
      <w:tr w14:paraId="2CA65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FF695">
            <w:pPr>
              <w:jc w:val="center"/>
              <w:rPr>
                <w:rFonts w:hint="eastAsia" w:ascii="宋体" w:hAnsi="宋体" w:eastAsia="宋体" w:cs="宋体"/>
                <w:i w:val="0"/>
                <w:iCs w:val="0"/>
                <w:color w:val="000000"/>
                <w:sz w:val="18"/>
                <w:szCs w:val="18"/>
                <w:u w:val="none"/>
              </w:rPr>
            </w:pPr>
          </w:p>
        </w:tc>
        <w:tc>
          <w:tcPr>
            <w:tcW w:w="20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0D3A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产出指标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1A0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数量指标</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49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全年救助次数</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B4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91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6</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E9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次</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779B">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21</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828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E4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81A8">
            <w:pPr>
              <w:jc w:val="center"/>
              <w:rPr>
                <w:rFonts w:hint="eastAsia" w:ascii="微软雅黑" w:hAnsi="微软雅黑" w:eastAsia="微软雅黑" w:cs="微软雅黑"/>
                <w:i/>
                <w:iCs/>
                <w:color w:val="000000"/>
                <w:sz w:val="16"/>
                <w:szCs w:val="16"/>
                <w:u w:val="none"/>
              </w:rPr>
            </w:pPr>
          </w:p>
        </w:tc>
      </w:tr>
      <w:tr w14:paraId="47B5E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F82EE">
            <w:pPr>
              <w:jc w:val="center"/>
              <w:rPr>
                <w:rFonts w:hint="eastAsia" w:ascii="宋体" w:hAnsi="宋体" w:eastAsia="宋体" w:cs="宋体"/>
                <w:i w:val="0"/>
                <w:iCs w:val="0"/>
                <w:color w:val="000000"/>
                <w:sz w:val="18"/>
                <w:szCs w:val="18"/>
                <w:u w:val="none"/>
              </w:rPr>
            </w:pPr>
          </w:p>
        </w:tc>
        <w:tc>
          <w:tcPr>
            <w:tcW w:w="2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FA93F">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C18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质量指标</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14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司法救助案件办理质量达标</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ED8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4FD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19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9533">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67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743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11DE">
            <w:pPr>
              <w:jc w:val="center"/>
              <w:rPr>
                <w:rFonts w:hint="eastAsia" w:ascii="微软雅黑" w:hAnsi="微软雅黑" w:eastAsia="微软雅黑" w:cs="微软雅黑"/>
                <w:i/>
                <w:iCs/>
                <w:color w:val="000000"/>
                <w:sz w:val="16"/>
                <w:szCs w:val="16"/>
                <w:u w:val="none"/>
              </w:rPr>
            </w:pPr>
          </w:p>
        </w:tc>
      </w:tr>
      <w:tr w14:paraId="616D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8AB55">
            <w:pPr>
              <w:jc w:val="center"/>
              <w:rPr>
                <w:rFonts w:hint="eastAsia" w:ascii="宋体" w:hAnsi="宋体" w:eastAsia="宋体" w:cs="宋体"/>
                <w:i w:val="0"/>
                <w:iCs w:val="0"/>
                <w:color w:val="000000"/>
                <w:sz w:val="18"/>
                <w:szCs w:val="18"/>
                <w:u w:val="none"/>
              </w:rPr>
            </w:pPr>
          </w:p>
        </w:tc>
        <w:tc>
          <w:tcPr>
            <w:tcW w:w="2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8BEEE3">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6E5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时效指标</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AA7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案件办结后司法救助及时性</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FE0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FD8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54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年</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44D0">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0.5年</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99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D0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18</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70A6">
            <w:pPr>
              <w:jc w:val="center"/>
              <w:rPr>
                <w:rFonts w:hint="eastAsia" w:ascii="微软雅黑" w:hAnsi="微软雅黑" w:eastAsia="微软雅黑" w:cs="微软雅黑"/>
                <w:i/>
                <w:iCs/>
                <w:color w:val="000000"/>
                <w:sz w:val="16"/>
                <w:szCs w:val="16"/>
                <w:u w:val="none"/>
              </w:rPr>
            </w:pPr>
          </w:p>
        </w:tc>
      </w:tr>
      <w:tr w14:paraId="2D763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CE311">
            <w:pPr>
              <w:jc w:val="center"/>
              <w:rPr>
                <w:rFonts w:hint="eastAsia" w:ascii="宋体" w:hAnsi="宋体" w:eastAsia="宋体" w:cs="宋体"/>
                <w:i w:val="0"/>
                <w:iCs w:val="0"/>
                <w:color w:val="000000"/>
                <w:sz w:val="18"/>
                <w:szCs w:val="18"/>
                <w:u w:val="none"/>
              </w:rPr>
            </w:pPr>
          </w:p>
        </w:tc>
        <w:tc>
          <w:tcPr>
            <w:tcW w:w="20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B0DA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效益指标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31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社会效益指标</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C4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维护地方社会治理发展</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51A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定性</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EFA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优</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6919">
            <w:pPr>
              <w:jc w:val="center"/>
              <w:rPr>
                <w:rFonts w:hint="eastAsia" w:ascii="宋体" w:hAnsi="宋体" w:eastAsia="宋体" w:cs="宋体"/>
                <w:i w:val="0"/>
                <w:iCs w:val="0"/>
                <w:color w:val="000000"/>
                <w:sz w:val="18"/>
                <w:szCs w:val="18"/>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14B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优</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13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C45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14</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5837C">
            <w:pPr>
              <w:jc w:val="center"/>
              <w:rPr>
                <w:rFonts w:hint="eastAsia" w:ascii="微软雅黑" w:hAnsi="微软雅黑" w:eastAsia="微软雅黑" w:cs="微软雅黑"/>
                <w:i/>
                <w:iCs/>
                <w:color w:val="000000"/>
                <w:sz w:val="16"/>
                <w:szCs w:val="16"/>
                <w:u w:val="none"/>
              </w:rPr>
            </w:pPr>
          </w:p>
        </w:tc>
      </w:tr>
      <w:tr w14:paraId="69C07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BFF596">
            <w:pPr>
              <w:jc w:val="center"/>
              <w:rPr>
                <w:rFonts w:hint="eastAsia" w:ascii="宋体" w:hAnsi="宋体" w:eastAsia="宋体" w:cs="宋体"/>
                <w:i w:val="0"/>
                <w:iCs w:val="0"/>
                <w:color w:val="000000"/>
                <w:sz w:val="18"/>
                <w:szCs w:val="18"/>
                <w:u w:val="none"/>
              </w:rPr>
            </w:pPr>
          </w:p>
        </w:tc>
        <w:tc>
          <w:tcPr>
            <w:tcW w:w="2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64EA1">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1F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可持续发展指标</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CE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持续性保障人民群众人身权益</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F9C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0C5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470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3946">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100%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9E6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395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15</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5690">
            <w:pPr>
              <w:jc w:val="center"/>
              <w:rPr>
                <w:rFonts w:hint="eastAsia" w:ascii="微软雅黑" w:hAnsi="微软雅黑" w:eastAsia="微软雅黑" w:cs="微软雅黑"/>
                <w:i/>
                <w:iCs/>
                <w:color w:val="000000"/>
                <w:sz w:val="16"/>
                <w:szCs w:val="16"/>
                <w:u w:val="none"/>
              </w:rPr>
            </w:pPr>
          </w:p>
        </w:tc>
      </w:tr>
      <w:tr w14:paraId="492B7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63D835">
            <w:pPr>
              <w:jc w:val="center"/>
              <w:rPr>
                <w:rFonts w:hint="eastAsia" w:ascii="宋体" w:hAnsi="宋体" w:eastAsia="宋体" w:cs="宋体"/>
                <w:i w:val="0"/>
                <w:iCs w:val="0"/>
                <w:color w:val="000000"/>
                <w:sz w:val="18"/>
                <w:szCs w:val="18"/>
                <w:u w:val="none"/>
              </w:rPr>
            </w:pPr>
          </w:p>
        </w:tc>
        <w:tc>
          <w:tcPr>
            <w:tcW w:w="2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07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B73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满意度指标</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5A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救助群众满意度</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97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EB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98</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324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w:t>
            </w:r>
          </w:p>
        </w:tc>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C399">
            <w:pPr>
              <w:keepNext w:val="0"/>
              <w:keepLines w:val="0"/>
              <w:widowControl/>
              <w:suppressLineNumbers w:val="0"/>
              <w:jc w:val="center"/>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98%</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CB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45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88997">
            <w:pPr>
              <w:jc w:val="center"/>
              <w:rPr>
                <w:rFonts w:hint="eastAsia" w:ascii="微软雅黑" w:hAnsi="微软雅黑" w:eastAsia="微软雅黑" w:cs="微软雅黑"/>
                <w:i/>
                <w:iCs/>
                <w:color w:val="000000"/>
                <w:sz w:val="16"/>
                <w:szCs w:val="16"/>
                <w:u w:val="none"/>
              </w:rPr>
            </w:pPr>
          </w:p>
        </w:tc>
      </w:tr>
      <w:tr w14:paraId="42CC1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06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A5DEC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合计</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47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100</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A41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97</w:t>
            </w:r>
          </w:p>
        </w:tc>
        <w:tc>
          <w:tcPr>
            <w:tcW w:w="24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26AF6">
            <w:pPr>
              <w:rPr>
                <w:rFonts w:hint="eastAsia" w:ascii="宋体" w:hAnsi="宋体" w:eastAsia="宋体" w:cs="宋体"/>
                <w:i w:val="0"/>
                <w:iCs w:val="0"/>
                <w:color w:val="000000"/>
                <w:sz w:val="18"/>
                <w:szCs w:val="18"/>
                <w:u w:val="none"/>
              </w:rPr>
            </w:pPr>
          </w:p>
        </w:tc>
      </w:tr>
      <w:tr w14:paraId="2C71F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B13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评价结论</w:t>
            </w:r>
          </w:p>
        </w:tc>
        <w:tc>
          <w:tcPr>
            <w:tcW w:w="128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517EE2D">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经自评，该项目自评得分为97分，强化司法救助工作，对符合司法救助的案件及相关当事人发放救助金，体现司法关怀。</w:t>
            </w:r>
          </w:p>
        </w:tc>
      </w:tr>
      <w:tr w14:paraId="78AD7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8C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存在问题</w:t>
            </w:r>
          </w:p>
        </w:tc>
        <w:tc>
          <w:tcPr>
            <w:tcW w:w="128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7D6475F">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一是司法救助相关政策法规宣讲不到位，二是部分司法救助及时性存在不足。</w:t>
            </w:r>
          </w:p>
        </w:tc>
      </w:tr>
      <w:tr w14:paraId="4AB1E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CE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改进措施</w:t>
            </w:r>
          </w:p>
        </w:tc>
        <w:tc>
          <w:tcPr>
            <w:tcW w:w="1282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901E356">
            <w:pPr>
              <w:keepNext w:val="0"/>
              <w:keepLines w:val="0"/>
              <w:widowControl/>
              <w:suppressLineNumbers w:val="0"/>
              <w:jc w:val="left"/>
              <w:textAlignment w:val="center"/>
              <w:rPr>
                <w:rFonts w:hint="eastAsia" w:ascii="微软雅黑" w:hAnsi="微软雅黑" w:eastAsia="微软雅黑" w:cs="微软雅黑"/>
                <w:i/>
                <w:iCs/>
                <w:color w:val="000000"/>
                <w:sz w:val="16"/>
                <w:szCs w:val="16"/>
                <w:u w:val="none"/>
              </w:rPr>
            </w:pPr>
            <w:r>
              <w:rPr>
                <w:rFonts w:hint="eastAsia" w:ascii="微软雅黑" w:hAnsi="微软雅黑" w:eastAsia="微软雅黑" w:cs="微软雅黑"/>
                <w:i/>
                <w:iCs/>
                <w:color w:val="000000"/>
                <w:kern w:val="0"/>
                <w:sz w:val="16"/>
                <w:szCs w:val="16"/>
                <w:u w:val="none"/>
                <w:lang w:val="en-US" w:eastAsia="zh-CN" w:bidi="ar"/>
              </w:rPr>
              <w:t>一是细化司法救助申请条件，二是继续强化司法救助的经费保障及时性。</w:t>
            </w:r>
          </w:p>
        </w:tc>
      </w:tr>
      <w:tr w14:paraId="48A14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8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8BCEA16">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项目负责人：吴玲</w:t>
            </w:r>
          </w:p>
        </w:tc>
        <w:tc>
          <w:tcPr>
            <w:tcW w:w="66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222D929">
            <w:pPr>
              <w:keepNext w:val="0"/>
              <w:keepLines w:val="0"/>
              <w:widowControl/>
              <w:suppressLineNumbers w:val="0"/>
              <w:jc w:val="left"/>
              <w:textAlignment w:val="center"/>
              <w:rPr>
                <w:rFonts w:hint="eastAsia" w:ascii="黑体" w:hAnsi="黑体" w:eastAsia="黑体" w:cs="黑体"/>
                <w:i w:val="0"/>
                <w:iCs w:val="0"/>
                <w:color w:val="000000"/>
                <w:sz w:val="18"/>
                <w:szCs w:val="18"/>
                <w:u w:val="none"/>
              </w:rPr>
            </w:pPr>
            <w:r>
              <w:rPr>
                <w:rFonts w:hint="eastAsia" w:ascii="黑体" w:hAnsi="黑体" w:eastAsia="黑体" w:cs="黑体"/>
                <w:i w:val="0"/>
                <w:iCs w:val="0"/>
                <w:color w:val="000000"/>
                <w:kern w:val="0"/>
                <w:sz w:val="18"/>
                <w:szCs w:val="18"/>
                <w:u w:val="none"/>
                <w:lang w:val="en-US" w:eastAsia="zh-CN" w:bidi="ar"/>
              </w:rPr>
              <w:t>财务负责人：杨琳</w:t>
            </w:r>
          </w:p>
        </w:tc>
      </w:tr>
      <w:tr w14:paraId="6EEF5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80" w:type="dxa"/>
            <w:tcBorders>
              <w:top w:val="nil"/>
              <w:left w:val="nil"/>
              <w:bottom w:val="nil"/>
              <w:right w:val="nil"/>
            </w:tcBorders>
            <w:shd w:val="clear" w:color="auto" w:fill="auto"/>
            <w:vAlign w:val="center"/>
          </w:tcPr>
          <w:p w14:paraId="267762BF">
            <w:pPr>
              <w:rPr>
                <w:rFonts w:hint="eastAsia" w:ascii="宋体" w:hAnsi="宋体" w:eastAsia="宋体" w:cs="宋体"/>
                <w:i w:val="0"/>
                <w:iCs w:val="0"/>
                <w:color w:val="000000"/>
                <w:sz w:val="18"/>
                <w:szCs w:val="18"/>
                <w:u w:val="none"/>
              </w:rPr>
            </w:pPr>
          </w:p>
        </w:tc>
        <w:tc>
          <w:tcPr>
            <w:tcW w:w="2049" w:type="dxa"/>
            <w:tcBorders>
              <w:top w:val="nil"/>
              <w:left w:val="nil"/>
              <w:bottom w:val="nil"/>
              <w:right w:val="nil"/>
            </w:tcBorders>
            <w:shd w:val="clear" w:color="auto" w:fill="auto"/>
            <w:vAlign w:val="center"/>
          </w:tcPr>
          <w:p w14:paraId="2DD76E89">
            <w:pPr>
              <w:rPr>
                <w:rFonts w:hint="eastAsia" w:ascii="宋体" w:hAnsi="宋体" w:eastAsia="宋体" w:cs="宋体"/>
                <w:i w:val="0"/>
                <w:iCs w:val="0"/>
                <w:color w:val="000000"/>
                <w:sz w:val="18"/>
                <w:szCs w:val="18"/>
                <w:u w:val="none"/>
              </w:rPr>
            </w:pPr>
          </w:p>
        </w:tc>
        <w:tc>
          <w:tcPr>
            <w:tcW w:w="1770" w:type="dxa"/>
            <w:tcBorders>
              <w:top w:val="nil"/>
              <w:left w:val="nil"/>
              <w:bottom w:val="nil"/>
              <w:right w:val="nil"/>
            </w:tcBorders>
            <w:shd w:val="clear" w:color="auto" w:fill="auto"/>
            <w:vAlign w:val="center"/>
          </w:tcPr>
          <w:p w14:paraId="1D23D31A">
            <w:pPr>
              <w:rPr>
                <w:rFonts w:hint="eastAsia" w:ascii="宋体" w:hAnsi="宋体" w:eastAsia="宋体" w:cs="宋体"/>
                <w:i w:val="0"/>
                <w:iCs w:val="0"/>
                <w:color w:val="000000"/>
                <w:sz w:val="18"/>
                <w:szCs w:val="18"/>
                <w:u w:val="none"/>
              </w:rPr>
            </w:pPr>
          </w:p>
        </w:tc>
        <w:tc>
          <w:tcPr>
            <w:tcW w:w="1827" w:type="dxa"/>
            <w:tcBorders>
              <w:top w:val="nil"/>
              <w:left w:val="nil"/>
              <w:bottom w:val="nil"/>
              <w:right w:val="nil"/>
            </w:tcBorders>
            <w:shd w:val="clear" w:color="auto" w:fill="auto"/>
            <w:vAlign w:val="center"/>
          </w:tcPr>
          <w:p w14:paraId="7EEA2ED3">
            <w:pPr>
              <w:rPr>
                <w:rFonts w:hint="eastAsia" w:ascii="宋体" w:hAnsi="宋体" w:eastAsia="宋体" w:cs="宋体"/>
                <w:i w:val="0"/>
                <w:iCs w:val="0"/>
                <w:color w:val="000000"/>
                <w:sz w:val="18"/>
                <w:szCs w:val="18"/>
                <w:u w:val="none"/>
              </w:rPr>
            </w:pPr>
          </w:p>
        </w:tc>
        <w:tc>
          <w:tcPr>
            <w:tcW w:w="520" w:type="dxa"/>
            <w:tcBorders>
              <w:top w:val="nil"/>
              <w:left w:val="nil"/>
              <w:bottom w:val="nil"/>
              <w:right w:val="nil"/>
            </w:tcBorders>
            <w:shd w:val="clear" w:color="auto" w:fill="auto"/>
            <w:vAlign w:val="center"/>
          </w:tcPr>
          <w:p w14:paraId="6F643FBA">
            <w:pPr>
              <w:rPr>
                <w:rFonts w:hint="eastAsia" w:ascii="宋体" w:hAnsi="宋体" w:eastAsia="宋体" w:cs="宋体"/>
                <w:i w:val="0"/>
                <w:iCs w:val="0"/>
                <w:color w:val="000000"/>
                <w:sz w:val="18"/>
                <w:szCs w:val="18"/>
                <w:u w:val="none"/>
              </w:rPr>
            </w:pPr>
          </w:p>
        </w:tc>
        <w:tc>
          <w:tcPr>
            <w:tcW w:w="1662" w:type="dxa"/>
            <w:tcBorders>
              <w:top w:val="nil"/>
              <w:left w:val="nil"/>
              <w:bottom w:val="nil"/>
              <w:right w:val="nil"/>
            </w:tcBorders>
            <w:shd w:val="clear" w:color="auto" w:fill="auto"/>
            <w:vAlign w:val="center"/>
          </w:tcPr>
          <w:p w14:paraId="1C919605">
            <w:pPr>
              <w:rPr>
                <w:rFonts w:hint="eastAsia" w:ascii="宋体" w:hAnsi="宋体" w:eastAsia="宋体" w:cs="宋体"/>
                <w:i w:val="0"/>
                <w:iCs w:val="0"/>
                <w:color w:val="000000"/>
                <w:sz w:val="18"/>
                <w:szCs w:val="18"/>
                <w:u w:val="none"/>
              </w:rPr>
            </w:pPr>
          </w:p>
        </w:tc>
        <w:tc>
          <w:tcPr>
            <w:tcW w:w="465" w:type="dxa"/>
            <w:tcBorders>
              <w:top w:val="nil"/>
              <w:left w:val="nil"/>
              <w:bottom w:val="nil"/>
              <w:right w:val="nil"/>
            </w:tcBorders>
            <w:shd w:val="clear" w:color="auto" w:fill="auto"/>
            <w:vAlign w:val="center"/>
          </w:tcPr>
          <w:p w14:paraId="25866426">
            <w:pPr>
              <w:rPr>
                <w:rFonts w:hint="eastAsia" w:ascii="宋体" w:hAnsi="宋体" w:eastAsia="宋体" w:cs="宋体"/>
                <w:i w:val="0"/>
                <w:iCs w:val="0"/>
                <w:color w:val="000000"/>
                <w:sz w:val="18"/>
                <w:szCs w:val="18"/>
                <w:u w:val="none"/>
              </w:rPr>
            </w:pPr>
          </w:p>
        </w:tc>
        <w:tc>
          <w:tcPr>
            <w:tcW w:w="1092" w:type="dxa"/>
            <w:tcBorders>
              <w:top w:val="nil"/>
              <w:left w:val="nil"/>
              <w:bottom w:val="nil"/>
              <w:right w:val="nil"/>
            </w:tcBorders>
            <w:shd w:val="clear" w:color="auto" w:fill="auto"/>
            <w:vAlign w:val="center"/>
          </w:tcPr>
          <w:p w14:paraId="6A87D689">
            <w:pPr>
              <w:rPr>
                <w:rFonts w:hint="eastAsia" w:ascii="宋体" w:hAnsi="宋体" w:eastAsia="宋体" w:cs="宋体"/>
                <w:i w:val="0"/>
                <w:iCs w:val="0"/>
                <w:color w:val="000000"/>
                <w:sz w:val="18"/>
                <w:szCs w:val="18"/>
                <w:u w:val="none"/>
              </w:rPr>
            </w:pPr>
          </w:p>
        </w:tc>
        <w:tc>
          <w:tcPr>
            <w:tcW w:w="506" w:type="dxa"/>
            <w:tcBorders>
              <w:top w:val="nil"/>
              <w:left w:val="nil"/>
              <w:bottom w:val="nil"/>
              <w:right w:val="nil"/>
            </w:tcBorders>
            <w:shd w:val="clear" w:color="auto" w:fill="auto"/>
            <w:vAlign w:val="center"/>
          </w:tcPr>
          <w:p w14:paraId="44F3AE7B">
            <w:pPr>
              <w:rPr>
                <w:rFonts w:hint="eastAsia" w:ascii="宋体" w:hAnsi="宋体" w:eastAsia="宋体" w:cs="宋体"/>
                <w:i w:val="0"/>
                <w:iCs w:val="0"/>
                <w:color w:val="000000"/>
                <w:sz w:val="18"/>
                <w:szCs w:val="18"/>
                <w:u w:val="none"/>
              </w:rPr>
            </w:pPr>
          </w:p>
        </w:tc>
        <w:tc>
          <w:tcPr>
            <w:tcW w:w="453" w:type="dxa"/>
            <w:tcBorders>
              <w:top w:val="nil"/>
              <w:left w:val="nil"/>
              <w:bottom w:val="nil"/>
              <w:right w:val="nil"/>
            </w:tcBorders>
            <w:shd w:val="clear" w:color="auto" w:fill="auto"/>
            <w:vAlign w:val="center"/>
          </w:tcPr>
          <w:p w14:paraId="466DA0DF">
            <w:pPr>
              <w:rPr>
                <w:rFonts w:hint="eastAsia" w:ascii="宋体" w:hAnsi="宋体" w:eastAsia="宋体" w:cs="宋体"/>
                <w:i w:val="0"/>
                <w:iCs w:val="0"/>
                <w:color w:val="000000"/>
                <w:sz w:val="18"/>
                <w:szCs w:val="18"/>
                <w:u w:val="none"/>
              </w:rPr>
            </w:pPr>
          </w:p>
        </w:tc>
        <w:tc>
          <w:tcPr>
            <w:tcW w:w="2476" w:type="dxa"/>
            <w:tcBorders>
              <w:top w:val="nil"/>
              <w:left w:val="nil"/>
              <w:bottom w:val="nil"/>
              <w:right w:val="nil"/>
            </w:tcBorders>
            <w:shd w:val="clear" w:color="auto" w:fill="auto"/>
            <w:vAlign w:val="center"/>
          </w:tcPr>
          <w:p w14:paraId="5EFB6487">
            <w:pPr>
              <w:rPr>
                <w:rFonts w:hint="eastAsia" w:ascii="宋体" w:hAnsi="宋体" w:eastAsia="宋体" w:cs="宋体"/>
                <w:i w:val="0"/>
                <w:iCs w:val="0"/>
                <w:color w:val="000000"/>
                <w:sz w:val="18"/>
                <w:szCs w:val="18"/>
                <w:u w:val="none"/>
              </w:rPr>
            </w:pPr>
          </w:p>
        </w:tc>
      </w:tr>
      <w:tr w14:paraId="4A72B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0" w:type="dxa"/>
            <w:gridSpan w:val="11"/>
            <w:tcBorders>
              <w:top w:val="nil"/>
              <w:left w:val="nil"/>
              <w:bottom w:val="nil"/>
              <w:right w:val="nil"/>
            </w:tcBorders>
            <w:shd w:val="clear" w:color="auto" w:fill="auto"/>
            <w:vAlign w:val="center"/>
          </w:tcPr>
          <w:p w14:paraId="4B47211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1、报表说明:该报表查询项目信息、绩效目标信息、预算及执行情况，用于预算单位查询导出开展项目自评。</w:t>
            </w:r>
          </w:p>
        </w:tc>
      </w:tr>
      <w:tr w14:paraId="2DA3C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0" w:type="dxa"/>
            <w:gridSpan w:val="11"/>
            <w:tcBorders>
              <w:top w:val="nil"/>
              <w:left w:val="nil"/>
              <w:bottom w:val="nil"/>
              <w:right w:val="nil"/>
            </w:tcBorders>
            <w:shd w:val="clear" w:color="auto" w:fill="auto"/>
            <w:vAlign w:val="center"/>
          </w:tcPr>
          <w:p w14:paraId="1EE5E1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2、取数口径：部门项目绩效目标表信息，包括年初预算、追加预算、结转预算和调整预算的绩效目标（以项目的最终绩效目标为准）。</w:t>
            </w:r>
          </w:p>
        </w:tc>
      </w:tr>
      <w:tr w14:paraId="2EB6B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500" w:type="dxa"/>
            <w:gridSpan w:val="11"/>
            <w:tcBorders>
              <w:top w:val="nil"/>
              <w:left w:val="nil"/>
              <w:bottom w:val="nil"/>
              <w:right w:val="nil"/>
            </w:tcBorders>
            <w:shd w:val="clear" w:color="auto" w:fill="auto"/>
            <w:vAlign w:val="center"/>
          </w:tcPr>
          <w:p w14:paraId="7B21E4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适用地区：全省范围</w:t>
            </w:r>
          </w:p>
        </w:tc>
      </w:tr>
      <w:tr w14:paraId="6D323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500" w:type="dxa"/>
            <w:gridSpan w:val="11"/>
            <w:tcBorders>
              <w:top w:val="nil"/>
              <w:left w:val="nil"/>
              <w:bottom w:val="nil"/>
              <w:right w:val="nil"/>
            </w:tcBorders>
            <w:shd w:val="clear" w:color="auto" w:fill="auto"/>
            <w:vAlign w:val="center"/>
          </w:tcPr>
          <w:p w14:paraId="59FB0D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适用用户：部门用户、单位用户</w:t>
            </w:r>
          </w:p>
        </w:tc>
      </w:tr>
      <w:bookmarkEnd w:id="54"/>
      <w:bookmarkEnd w:id="57"/>
      <w:bookmarkEnd w:id="58"/>
    </w:tbl>
    <w:p w14:paraId="743BD285">
      <w:pPr>
        <w:pStyle w:val="4"/>
        <w:pageBreakBefore w:val="0"/>
        <w:kinsoku/>
        <w:wordWrap/>
        <w:overflowPunct/>
        <w:topLinePunct w:val="0"/>
        <w:bidi w:val="0"/>
        <w:spacing w:line="560" w:lineRule="exact"/>
        <w:jc w:val="center"/>
        <w:textAlignment w:val="auto"/>
        <w:rPr>
          <w:rFonts w:hint="eastAsia" w:ascii="黑体" w:hAnsi="黑体" w:eastAsia="黑体" w:cs="黑体"/>
          <w:b w:val="0"/>
          <w:color w:val="auto"/>
          <w:sz w:val="44"/>
          <w:szCs w:val="44"/>
          <w:highlight w:val="none"/>
          <w:lang w:val="en-US" w:eastAsia="zh-CN"/>
        </w:rPr>
        <w:sectPr>
          <w:pgSz w:w="16838" w:h="11906" w:orient="landscape"/>
          <w:pgMar w:top="1800" w:right="1440" w:bottom="1800" w:left="1440" w:header="851" w:footer="992" w:gutter="0"/>
          <w:pgNumType w:fmt="decimal"/>
          <w:cols w:space="425" w:num="1"/>
          <w:docGrid w:type="lines" w:linePitch="312" w:charSpace="0"/>
        </w:sectPr>
      </w:pPr>
      <w:bookmarkStart w:id="59" w:name="_Toc5286"/>
    </w:p>
    <w:p w14:paraId="33F92708">
      <w:pPr>
        <w:pStyle w:val="4"/>
        <w:pageBreakBefore w:val="0"/>
        <w:kinsoku/>
        <w:wordWrap/>
        <w:overflowPunct/>
        <w:topLinePunct w:val="0"/>
        <w:bidi w:val="0"/>
        <w:spacing w:line="560" w:lineRule="exact"/>
        <w:jc w:val="center"/>
        <w:textAlignment w:val="auto"/>
        <w:rPr>
          <w:rFonts w:hint="default" w:ascii="仿宋" w:hAnsi="仿宋" w:eastAsia="仿宋"/>
          <w:b w:val="0"/>
          <w:color w:val="auto"/>
          <w:sz w:val="44"/>
          <w:szCs w:val="44"/>
          <w:highlight w:val="none"/>
          <w:lang w:val="en-US" w:eastAsia="zh-CN"/>
        </w:rPr>
      </w:pPr>
      <w:r>
        <w:rPr>
          <w:rFonts w:hint="eastAsia" w:ascii="黑体" w:hAnsi="黑体" w:eastAsia="黑体" w:cs="黑体"/>
          <w:b w:val="0"/>
          <w:color w:val="auto"/>
          <w:sz w:val="44"/>
          <w:szCs w:val="44"/>
          <w:highlight w:val="none"/>
          <w:lang w:val="en-US" w:eastAsia="zh-CN"/>
        </w:rPr>
        <w:t>第五部分 附表</w:t>
      </w:r>
    </w:p>
    <w:p w14:paraId="1E1B9673">
      <w:pPr>
        <w:pStyle w:val="4"/>
        <w:pageBreakBefore w:val="0"/>
        <w:kinsoku/>
        <w:wordWrap/>
        <w:overflowPunct/>
        <w:topLinePunct w:val="0"/>
        <w:bidi w:val="0"/>
        <w:spacing w:line="560" w:lineRule="exact"/>
        <w:textAlignment w:val="auto"/>
        <w:rPr>
          <w:rFonts w:ascii="仿宋" w:hAnsi="仿宋" w:eastAsia="仿宋"/>
          <w:color w:val="auto"/>
          <w:highlight w:val="none"/>
        </w:rPr>
      </w:pPr>
      <w:r>
        <w:rPr>
          <w:rFonts w:hint="eastAsia" w:ascii="仿宋" w:hAnsi="仿宋" w:eastAsia="仿宋"/>
          <w:b w:val="0"/>
          <w:color w:val="auto"/>
          <w:highlight w:val="none"/>
        </w:rPr>
        <w:t>一、收</w:t>
      </w:r>
      <w:r>
        <w:rPr>
          <w:rStyle w:val="22"/>
          <w:rFonts w:hint="eastAsia" w:ascii="仿宋" w:hAnsi="仿宋" w:eastAsia="仿宋"/>
          <w:b w:val="0"/>
          <w:bCs w:val="0"/>
          <w:color w:val="auto"/>
          <w:highlight w:val="none"/>
        </w:rPr>
        <w:t>入支出决算总表</w:t>
      </w:r>
      <w:bookmarkEnd w:id="59"/>
    </w:p>
    <w:p w14:paraId="48D5ABCE">
      <w:pPr>
        <w:pStyle w:val="4"/>
        <w:pageBreakBefore w:val="0"/>
        <w:kinsoku/>
        <w:wordWrap/>
        <w:overflowPunct/>
        <w:topLinePunct w:val="0"/>
        <w:bidi w:val="0"/>
        <w:spacing w:line="560" w:lineRule="exact"/>
        <w:textAlignment w:val="auto"/>
        <w:rPr>
          <w:rFonts w:ascii="仿宋" w:hAnsi="仿宋" w:eastAsia="仿宋"/>
          <w:color w:val="auto"/>
          <w:highlight w:val="none"/>
        </w:rPr>
      </w:pPr>
      <w:bookmarkStart w:id="60" w:name="_Toc8158"/>
      <w:bookmarkStart w:id="61" w:name="_Toc15396620"/>
      <w:r>
        <w:rPr>
          <w:rFonts w:hint="eastAsia" w:ascii="仿宋" w:hAnsi="仿宋" w:eastAsia="仿宋"/>
          <w:b w:val="0"/>
          <w:color w:val="auto"/>
          <w:highlight w:val="none"/>
        </w:rPr>
        <w:t>二、收</w:t>
      </w:r>
      <w:r>
        <w:rPr>
          <w:rStyle w:val="22"/>
          <w:rFonts w:hint="eastAsia" w:ascii="仿宋" w:hAnsi="仿宋" w:eastAsia="仿宋"/>
          <w:b w:val="0"/>
          <w:bCs w:val="0"/>
          <w:color w:val="auto"/>
          <w:highlight w:val="none"/>
        </w:rPr>
        <w:t>入决算表</w:t>
      </w:r>
      <w:bookmarkEnd w:id="60"/>
      <w:bookmarkEnd w:id="61"/>
    </w:p>
    <w:p w14:paraId="6B440E18">
      <w:pPr>
        <w:pStyle w:val="4"/>
        <w:pageBreakBefore w:val="0"/>
        <w:kinsoku/>
        <w:wordWrap/>
        <w:overflowPunct/>
        <w:topLinePunct w:val="0"/>
        <w:bidi w:val="0"/>
        <w:spacing w:line="560" w:lineRule="exact"/>
        <w:textAlignment w:val="auto"/>
        <w:rPr>
          <w:rFonts w:ascii="仿宋" w:hAnsi="仿宋" w:eastAsia="仿宋"/>
          <w:color w:val="auto"/>
          <w:highlight w:val="none"/>
        </w:rPr>
      </w:pPr>
      <w:bookmarkStart w:id="62" w:name="_Toc15396621"/>
      <w:bookmarkStart w:id="63" w:name="_Toc26012"/>
      <w:r>
        <w:rPr>
          <w:rStyle w:val="22"/>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2"/>
          <w:rFonts w:hint="eastAsia" w:ascii="仿宋" w:hAnsi="仿宋" w:eastAsia="仿宋"/>
          <w:b w:val="0"/>
          <w:bCs w:val="0"/>
          <w:color w:val="auto"/>
          <w:highlight w:val="none"/>
        </w:rPr>
        <w:t>出决算表</w:t>
      </w:r>
      <w:bookmarkEnd w:id="62"/>
      <w:bookmarkEnd w:id="63"/>
    </w:p>
    <w:p w14:paraId="2ABDD2E0">
      <w:pPr>
        <w:pStyle w:val="4"/>
        <w:pageBreakBefore w:val="0"/>
        <w:kinsoku/>
        <w:wordWrap/>
        <w:overflowPunct/>
        <w:topLinePunct w:val="0"/>
        <w:bidi w:val="0"/>
        <w:spacing w:line="560" w:lineRule="exact"/>
        <w:textAlignment w:val="auto"/>
        <w:rPr>
          <w:rFonts w:ascii="仿宋" w:hAnsi="仿宋" w:eastAsia="仿宋"/>
          <w:b w:val="0"/>
          <w:color w:val="auto"/>
          <w:highlight w:val="none"/>
        </w:rPr>
      </w:pPr>
      <w:bookmarkStart w:id="64" w:name="_Toc18909"/>
      <w:bookmarkStart w:id="65" w:name="_Toc15396622"/>
      <w:r>
        <w:rPr>
          <w:rStyle w:val="22"/>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2"/>
          <w:rFonts w:hint="eastAsia" w:ascii="仿宋" w:hAnsi="仿宋" w:eastAsia="仿宋"/>
          <w:b w:val="0"/>
          <w:bCs w:val="0"/>
          <w:color w:val="auto"/>
          <w:highlight w:val="none"/>
        </w:rPr>
        <w:t>政拨款收入支出决算总表</w:t>
      </w:r>
      <w:bookmarkEnd w:id="64"/>
      <w:bookmarkEnd w:id="65"/>
    </w:p>
    <w:p w14:paraId="28093F33">
      <w:pPr>
        <w:pStyle w:val="4"/>
        <w:pageBreakBefore w:val="0"/>
        <w:kinsoku/>
        <w:wordWrap/>
        <w:overflowPunct/>
        <w:topLinePunct w:val="0"/>
        <w:bidi w:val="0"/>
        <w:spacing w:line="560" w:lineRule="exact"/>
        <w:textAlignment w:val="auto"/>
        <w:rPr>
          <w:rStyle w:val="22"/>
          <w:rFonts w:ascii="仿宋" w:hAnsi="仿宋" w:eastAsia="仿宋"/>
          <w:b w:val="0"/>
          <w:bCs w:val="0"/>
          <w:color w:val="auto"/>
          <w:highlight w:val="none"/>
        </w:rPr>
      </w:pPr>
      <w:bookmarkStart w:id="66" w:name="_Toc15396623"/>
      <w:bookmarkStart w:id="67" w:name="_Toc31130"/>
      <w:r>
        <w:rPr>
          <w:rStyle w:val="22"/>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2"/>
          <w:rFonts w:hint="eastAsia" w:ascii="仿宋" w:hAnsi="仿宋" w:eastAsia="仿宋"/>
          <w:b w:val="0"/>
          <w:bCs w:val="0"/>
          <w:color w:val="auto"/>
          <w:highlight w:val="none"/>
        </w:rPr>
        <w:t>政拨款支出决算明细表</w:t>
      </w:r>
      <w:bookmarkEnd w:id="66"/>
      <w:bookmarkEnd w:id="67"/>
      <w:bookmarkStart w:id="68" w:name="_Toc15396624"/>
    </w:p>
    <w:p w14:paraId="0BE779EB">
      <w:pPr>
        <w:pStyle w:val="4"/>
        <w:pageBreakBefore w:val="0"/>
        <w:kinsoku/>
        <w:wordWrap/>
        <w:overflowPunct/>
        <w:topLinePunct w:val="0"/>
        <w:bidi w:val="0"/>
        <w:spacing w:line="560" w:lineRule="exact"/>
        <w:textAlignment w:val="auto"/>
        <w:rPr>
          <w:rFonts w:ascii="仿宋" w:hAnsi="仿宋" w:eastAsia="仿宋"/>
          <w:color w:val="auto"/>
          <w:highlight w:val="none"/>
        </w:rPr>
      </w:pPr>
      <w:bookmarkStart w:id="69" w:name="_Toc7698"/>
      <w:r>
        <w:rPr>
          <w:rStyle w:val="22"/>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2"/>
          <w:rFonts w:hint="eastAsia" w:ascii="仿宋" w:hAnsi="仿宋" w:eastAsia="仿宋"/>
          <w:b w:val="0"/>
          <w:bCs w:val="0"/>
          <w:color w:val="auto"/>
          <w:highlight w:val="none"/>
        </w:rPr>
        <w:t>般公共预算财政拨款支出决算表</w:t>
      </w:r>
      <w:bookmarkEnd w:id="68"/>
      <w:bookmarkEnd w:id="69"/>
    </w:p>
    <w:p w14:paraId="34520948">
      <w:pPr>
        <w:pStyle w:val="4"/>
        <w:pageBreakBefore w:val="0"/>
        <w:kinsoku/>
        <w:wordWrap/>
        <w:overflowPunct/>
        <w:topLinePunct w:val="0"/>
        <w:bidi w:val="0"/>
        <w:spacing w:line="560" w:lineRule="exact"/>
        <w:textAlignment w:val="auto"/>
        <w:rPr>
          <w:rFonts w:ascii="仿宋" w:hAnsi="仿宋" w:eastAsia="仿宋"/>
          <w:color w:val="auto"/>
          <w:highlight w:val="none"/>
        </w:rPr>
      </w:pPr>
      <w:bookmarkStart w:id="70" w:name="_Toc15396625"/>
      <w:bookmarkStart w:id="71" w:name="_Toc31249"/>
      <w:r>
        <w:rPr>
          <w:rStyle w:val="22"/>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2"/>
          <w:rFonts w:hint="eastAsia" w:ascii="仿宋" w:hAnsi="仿宋" w:eastAsia="仿宋"/>
          <w:b w:val="0"/>
          <w:bCs w:val="0"/>
          <w:color w:val="auto"/>
          <w:highlight w:val="none"/>
        </w:rPr>
        <w:t>般公共预算财政拨款支出决算明细表</w:t>
      </w:r>
      <w:bookmarkEnd w:id="70"/>
      <w:bookmarkEnd w:id="71"/>
    </w:p>
    <w:p w14:paraId="522ADDAC">
      <w:pPr>
        <w:pStyle w:val="4"/>
        <w:pageBreakBefore w:val="0"/>
        <w:kinsoku/>
        <w:wordWrap/>
        <w:overflowPunct/>
        <w:topLinePunct w:val="0"/>
        <w:bidi w:val="0"/>
        <w:spacing w:line="560" w:lineRule="exact"/>
        <w:textAlignment w:val="auto"/>
        <w:rPr>
          <w:rFonts w:ascii="仿宋" w:hAnsi="仿宋" w:eastAsia="仿宋"/>
          <w:color w:val="auto"/>
          <w:highlight w:val="none"/>
        </w:rPr>
      </w:pPr>
      <w:bookmarkStart w:id="72" w:name="_Toc7317"/>
      <w:bookmarkStart w:id="73" w:name="_Toc15396626"/>
      <w:r>
        <w:rPr>
          <w:rStyle w:val="22"/>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2"/>
          <w:rFonts w:hint="eastAsia" w:ascii="仿宋" w:hAnsi="仿宋" w:eastAsia="仿宋"/>
          <w:b w:val="0"/>
          <w:bCs w:val="0"/>
          <w:color w:val="auto"/>
          <w:highlight w:val="none"/>
        </w:rPr>
        <w:t>般公共预算财政拨款基本支出决算表</w:t>
      </w:r>
      <w:bookmarkEnd w:id="72"/>
      <w:bookmarkEnd w:id="73"/>
    </w:p>
    <w:p w14:paraId="1BED75DD">
      <w:pPr>
        <w:pStyle w:val="4"/>
        <w:pageBreakBefore w:val="0"/>
        <w:kinsoku/>
        <w:wordWrap/>
        <w:overflowPunct/>
        <w:topLinePunct w:val="0"/>
        <w:bidi w:val="0"/>
        <w:spacing w:line="560" w:lineRule="exact"/>
        <w:textAlignment w:val="auto"/>
        <w:rPr>
          <w:rFonts w:ascii="仿宋" w:hAnsi="仿宋" w:eastAsia="仿宋"/>
          <w:color w:val="auto"/>
          <w:highlight w:val="none"/>
        </w:rPr>
      </w:pPr>
      <w:bookmarkStart w:id="74" w:name="_Toc6515"/>
      <w:bookmarkStart w:id="75" w:name="_Toc15396627"/>
      <w:r>
        <w:rPr>
          <w:rStyle w:val="22"/>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2"/>
          <w:rFonts w:hint="eastAsia" w:ascii="仿宋" w:hAnsi="仿宋" w:eastAsia="仿宋"/>
          <w:b w:val="0"/>
          <w:bCs w:val="0"/>
          <w:color w:val="auto"/>
          <w:highlight w:val="none"/>
        </w:rPr>
        <w:t>般公共预算财政拨款项目支出决算表</w:t>
      </w:r>
      <w:bookmarkEnd w:id="74"/>
      <w:bookmarkEnd w:id="75"/>
    </w:p>
    <w:p w14:paraId="2CA22709">
      <w:pPr>
        <w:pStyle w:val="4"/>
        <w:pageBreakBefore w:val="0"/>
        <w:kinsoku/>
        <w:wordWrap/>
        <w:overflowPunct/>
        <w:topLinePunct w:val="0"/>
        <w:bidi w:val="0"/>
        <w:spacing w:line="560" w:lineRule="exact"/>
        <w:textAlignment w:val="auto"/>
        <w:rPr>
          <w:rFonts w:ascii="仿宋" w:hAnsi="仿宋" w:eastAsia="仿宋"/>
          <w:color w:val="auto"/>
          <w:highlight w:val="none"/>
        </w:rPr>
      </w:pPr>
      <w:bookmarkStart w:id="76" w:name="_Toc15396628"/>
      <w:bookmarkStart w:id="77" w:name="_Toc7620"/>
      <w:r>
        <w:rPr>
          <w:rStyle w:val="22"/>
          <w:rFonts w:hint="eastAsia" w:ascii="仿宋" w:hAnsi="仿宋" w:eastAsia="仿宋"/>
          <w:b w:val="0"/>
          <w:bCs w:val="0"/>
          <w:color w:val="auto"/>
          <w:highlight w:val="none"/>
        </w:rPr>
        <w:t>十、</w:t>
      </w:r>
      <w:bookmarkEnd w:id="76"/>
      <w:r>
        <w:rPr>
          <w:rFonts w:hint="eastAsia" w:ascii="仿宋" w:hAnsi="仿宋" w:eastAsia="仿宋"/>
          <w:b w:val="0"/>
          <w:color w:val="auto"/>
          <w:highlight w:val="none"/>
        </w:rPr>
        <w:t>政</w:t>
      </w:r>
      <w:r>
        <w:rPr>
          <w:rStyle w:val="22"/>
          <w:rFonts w:hint="eastAsia" w:ascii="仿宋" w:hAnsi="仿宋" w:eastAsia="仿宋"/>
          <w:b w:val="0"/>
          <w:bCs w:val="0"/>
          <w:color w:val="auto"/>
          <w:highlight w:val="none"/>
        </w:rPr>
        <w:t>府性基金预算财政拨款收入支出决算表</w:t>
      </w:r>
      <w:bookmarkEnd w:id="77"/>
    </w:p>
    <w:p w14:paraId="7BF65AC1">
      <w:pPr>
        <w:pStyle w:val="4"/>
        <w:pageBreakBefore w:val="0"/>
        <w:kinsoku/>
        <w:wordWrap/>
        <w:overflowPunct/>
        <w:topLinePunct w:val="0"/>
        <w:bidi w:val="0"/>
        <w:spacing w:line="560" w:lineRule="exact"/>
        <w:textAlignment w:val="auto"/>
        <w:rPr>
          <w:rFonts w:ascii="仿宋" w:hAnsi="仿宋" w:eastAsia="仿宋"/>
          <w:color w:val="auto"/>
          <w:highlight w:val="none"/>
        </w:rPr>
      </w:pPr>
      <w:bookmarkStart w:id="78" w:name="_Toc15396629"/>
      <w:bookmarkStart w:id="79" w:name="_Toc26497"/>
      <w:r>
        <w:rPr>
          <w:rStyle w:val="22"/>
          <w:rFonts w:hint="eastAsia" w:ascii="仿宋" w:hAnsi="仿宋" w:eastAsia="仿宋"/>
          <w:b w:val="0"/>
          <w:bCs w:val="0"/>
          <w:color w:val="auto"/>
          <w:highlight w:val="none"/>
        </w:rPr>
        <w:t>十一、</w:t>
      </w:r>
      <w:bookmarkEnd w:id="78"/>
      <w:r>
        <w:rPr>
          <w:rFonts w:hint="eastAsia" w:ascii="仿宋" w:hAnsi="仿宋" w:eastAsia="仿宋"/>
          <w:b w:val="0"/>
          <w:color w:val="auto"/>
          <w:highlight w:val="none"/>
        </w:rPr>
        <w:t>国</w:t>
      </w:r>
      <w:r>
        <w:rPr>
          <w:rStyle w:val="22"/>
          <w:rFonts w:hint="eastAsia" w:ascii="仿宋" w:hAnsi="仿宋" w:eastAsia="仿宋"/>
          <w:b w:val="0"/>
          <w:bCs w:val="0"/>
          <w:color w:val="auto"/>
          <w:highlight w:val="none"/>
        </w:rPr>
        <w:t>有资本经营预算</w:t>
      </w:r>
      <w:r>
        <w:rPr>
          <w:rStyle w:val="22"/>
          <w:rFonts w:hint="eastAsia" w:ascii="仿宋" w:hAnsi="仿宋" w:eastAsia="仿宋"/>
          <w:b w:val="0"/>
          <w:bCs w:val="0"/>
          <w:color w:val="auto"/>
          <w:highlight w:val="none"/>
          <w:lang w:eastAsia="zh-CN"/>
        </w:rPr>
        <w:t>财政拨款收入</w:t>
      </w:r>
      <w:r>
        <w:rPr>
          <w:rStyle w:val="22"/>
          <w:rFonts w:hint="eastAsia" w:ascii="仿宋" w:hAnsi="仿宋" w:eastAsia="仿宋"/>
          <w:b w:val="0"/>
          <w:bCs w:val="0"/>
          <w:color w:val="auto"/>
          <w:highlight w:val="none"/>
        </w:rPr>
        <w:t>支出决算表</w:t>
      </w:r>
      <w:bookmarkEnd w:id="79"/>
    </w:p>
    <w:p w14:paraId="0B2E00CE">
      <w:pPr>
        <w:pStyle w:val="4"/>
        <w:pageBreakBefore w:val="0"/>
        <w:kinsoku/>
        <w:wordWrap/>
        <w:overflowPunct/>
        <w:topLinePunct w:val="0"/>
        <w:bidi w:val="0"/>
        <w:spacing w:line="560" w:lineRule="exact"/>
        <w:textAlignment w:val="auto"/>
        <w:rPr>
          <w:rFonts w:ascii="仿宋" w:hAnsi="仿宋" w:eastAsia="仿宋"/>
          <w:color w:val="auto"/>
          <w:highlight w:val="none"/>
        </w:rPr>
      </w:pPr>
      <w:bookmarkStart w:id="80" w:name="_Toc15396630"/>
      <w:bookmarkStart w:id="81" w:name="_Toc28654"/>
      <w:r>
        <w:rPr>
          <w:rStyle w:val="22"/>
          <w:rFonts w:hint="eastAsia" w:ascii="仿宋" w:hAnsi="仿宋" w:eastAsia="仿宋"/>
          <w:b w:val="0"/>
          <w:bCs w:val="0"/>
          <w:color w:val="auto"/>
          <w:highlight w:val="none"/>
        </w:rPr>
        <w:t>十二、</w:t>
      </w:r>
      <w:bookmarkEnd w:id="80"/>
      <w:r>
        <w:rPr>
          <w:rStyle w:val="22"/>
          <w:rFonts w:hint="eastAsia" w:ascii="仿宋" w:hAnsi="仿宋" w:eastAsia="仿宋"/>
          <w:b w:val="0"/>
          <w:bCs w:val="0"/>
          <w:color w:val="auto"/>
          <w:highlight w:val="none"/>
          <w:lang w:eastAsia="zh-CN"/>
        </w:rPr>
        <w:t>国有资本经营预算财政拨款支出决算表</w:t>
      </w:r>
      <w:bookmarkEnd w:id="81"/>
    </w:p>
    <w:p w14:paraId="69A2D45A">
      <w:pPr>
        <w:pStyle w:val="4"/>
        <w:pageBreakBefore w:val="0"/>
        <w:kinsoku/>
        <w:wordWrap/>
        <w:overflowPunct/>
        <w:topLinePunct w:val="0"/>
        <w:bidi w:val="0"/>
        <w:spacing w:line="560" w:lineRule="exact"/>
        <w:textAlignment w:val="auto"/>
        <w:rPr>
          <w:rFonts w:hint="eastAsia" w:ascii="仿宋_GB2312" w:hAnsi="仿宋_GB2312" w:eastAsia="仿宋_GB2312" w:cs="仿宋_GB2312"/>
          <w:b w:val="0"/>
          <w:color w:val="000000"/>
        </w:rPr>
      </w:pPr>
      <w:bookmarkStart w:id="82" w:name="_Toc15396631"/>
      <w:bookmarkStart w:id="83" w:name="_Toc10409"/>
      <w:r>
        <w:rPr>
          <w:rStyle w:val="22"/>
          <w:rFonts w:hint="eastAsia" w:ascii="仿宋" w:hAnsi="仿宋" w:eastAsia="仿宋"/>
          <w:b w:val="0"/>
          <w:bCs w:val="0"/>
          <w:color w:val="auto"/>
          <w:highlight w:val="none"/>
        </w:rPr>
        <w:t>十三、</w:t>
      </w:r>
      <w:bookmarkEnd w:id="82"/>
      <w:r>
        <w:rPr>
          <w:rStyle w:val="22"/>
          <w:rFonts w:hint="eastAsia" w:ascii="仿宋" w:hAnsi="仿宋" w:eastAsia="仿宋"/>
          <w:b w:val="0"/>
          <w:bCs w:val="0"/>
          <w:color w:val="auto"/>
          <w:highlight w:val="none"/>
          <w:lang w:eastAsia="zh-CN"/>
        </w:rPr>
        <w:t>财政拨款“三公”经费支出决算表</w:t>
      </w:r>
      <w:bookmarkEnd w:id="83"/>
    </w:p>
    <w:sectPr>
      <w:headerReference r:id="rId4" w:type="default"/>
      <w:footerReference r:id="rId5" w:type="default"/>
      <w:pgSz w:w="11906" w:h="16838"/>
      <w:pgMar w:top="1440" w:right="1800" w:bottom="1440" w:left="1800" w:header="851" w:footer="992" w:gutter="0"/>
      <w:pgNumType w:fmt="decimal" w:start="4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
    <w:altName w:val="Times New Roman"/>
    <w:panose1 w:val="00000000000000000000"/>
    <w:charset w:val="00"/>
    <w:family w:val="auto"/>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0CA92">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EF0021">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7EF0021">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568A2">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D84078">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29D84078">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49EA2">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3">
    <w:nsid w:val="7A3EE379"/>
    <w:multiLevelType w:val="singleLevel"/>
    <w:tmpl w:val="7A3EE379"/>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ZWQxYjRkZDcwYzJjOTA4ODM5ZTQzOGNlYTkyZGMifQ=="/>
  </w:docVars>
  <w:rsids>
    <w:rsidRoot w:val="6504078C"/>
    <w:rsid w:val="014D4677"/>
    <w:rsid w:val="04605018"/>
    <w:rsid w:val="04952CDD"/>
    <w:rsid w:val="05A14A1B"/>
    <w:rsid w:val="06D96529"/>
    <w:rsid w:val="0A746564"/>
    <w:rsid w:val="0FA52DFC"/>
    <w:rsid w:val="124F64A1"/>
    <w:rsid w:val="14AA2DBD"/>
    <w:rsid w:val="18316649"/>
    <w:rsid w:val="19093E8A"/>
    <w:rsid w:val="19F82D06"/>
    <w:rsid w:val="1DF96E94"/>
    <w:rsid w:val="1EF7441C"/>
    <w:rsid w:val="1F264B83"/>
    <w:rsid w:val="21162880"/>
    <w:rsid w:val="22CD6979"/>
    <w:rsid w:val="233A0AA7"/>
    <w:rsid w:val="25D32AED"/>
    <w:rsid w:val="277321EF"/>
    <w:rsid w:val="2A1076B3"/>
    <w:rsid w:val="2B315379"/>
    <w:rsid w:val="2B520958"/>
    <w:rsid w:val="2CDC2894"/>
    <w:rsid w:val="2DFB52D7"/>
    <w:rsid w:val="306B6744"/>
    <w:rsid w:val="30D8602A"/>
    <w:rsid w:val="32C0331F"/>
    <w:rsid w:val="32E12B57"/>
    <w:rsid w:val="34EF6A61"/>
    <w:rsid w:val="367479D5"/>
    <w:rsid w:val="36ED15A8"/>
    <w:rsid w:val="37217B5C"/>
    <w:rsid w:val="37B729B8"/>
    <w:rsid w:val="386341A5"/>
    <w:rsid w:val="3C9C5ED7"/>
    <w:rsid w:val="3D62771D"/>
    <w:rsid w:val="3DD551FD"/>
    <w:rsid w:val="3E4169FF"/>
    <w:rsid w:val="3E546A69"/>
    <w:rsid w:val="4093153B"/>
    <w:rsid w:val="425D2E0A"/>
    <w:rsid w:val="43FEC932"/>
    <w:rsid w:val="4612476D"/>
    <w:rsid w:val="49C12577"/>
    <w:rsid w:val="52A511EA"/>
    <w:rsid w:val="5A4F0CFD"/>
    <w:rsid w:val="5B6A42BE"/>
    <w:rsid w:val="5B807B3A"/>
    <w:rsid w:val="5C1D44E7"/>
    <w:rsid w:val="5D3E75DF"/>
    <w:rsid w:val="628752D0"/>
    <w:rsid w:val="63094CB9"/>
    <w:rsid w:val="6504078C"/>
    <w:rsid w:val="65C337CB"/>
    <w:rsid w:val="65FFAF84"/>
    <w:rsid w:val="66032BD3"/>
    <w:rsid w:val="6646288C"/>
    <w:rsid w:val="67D63BB0"/>
    <w:rsid w:val="6D617FAC"/>
    <w:rsid w:val="6DD469CF"/>
    <w:rsid w:val="6FA83C70"/>
    <w:rsid w:val="6FAA0318"/>
    <w:rsid w:val="70187047"/>
    <w:rsid w:val="726E3979"/>
    <w:rsid w:val="730C29A0"/>
    <w:rsid w:val="74730CF0"/>
    <w:rsid w:val="74B44E65"/>
    <w:rsid w:val="751201A7"/>
    <w:rsid w:val="75E11C8A"/>
    <w:rsid w:val="79935991"/>
    <w:rsid w:val="7D153D75"/>
    <w:rsid w:val="7D9D293A"/>
    <w:rsid w:val="7DB06B11"/>
    <w:rsid w:val="7EBFE696"/>
    <w:rsid w:val="7EC91BC5"/>
    <w:rsid w:val="7F85088C"/>
    <w:rsid w:val="7FB12BCE"/>
    <w:rsid w:val="9B9F991E"/>
    <w:rsid w:val="B3FD0AB2"/>
    <w:rsid w:val="F7B86D15"/>
    <w:rsid w:val="FCB4E2BB"/>
    <w:rsid w:val="FFFD2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2"/>
    <w:unhideWhenUsed/>
    <w:qFormat/>
    <w:uiPriority w:val="9"/>
    <w:pPr>
      <w:keepNext/>
      <w:keepLines/>
      <w:spacing w:before="260" w:after="260" w:line="416" w:lineRule="auto"/>
      <w:outlineLvl w:val="1"/>
    </w:pPr>
    <w:rPr>
      <w:rFonts w:ascii="Cambria" w:hAnsi="Cambria"/>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ascii="Times New Roman" w:hAnsi="Times New Roman" w:eastAsia="仿宋_GB2312"/>
      <w:sz w:val="32"/>
    </w:rPr>
  </w:style>
  <w:style w:type="paragraph" w:styleId="5">
    <w:name w:val="index 5"/>
    <w:basedOn w:val="1"/>
    <w:next w:val="1"/>
    <w:qFormat/>
    <w:uiPriority w:val="0"/>
    <w:pPr>
      <w:ind w:left="1680"/>
    </w:pPr>
  </w:style>
  <w:style w:type="paragraph" w:styleId="6">
    <w:name w:val="Body Text"/>
    <w:basedOn w:val="1"/>
    <w:next w:val="7"/>
    <w:qFormat/>
    <w:uiPriority w:val="99"/>
    <w:pPr>
      <w:spacing w:beforeLines="30"/>
    </w:pPr>
    <w:rPr>
      <w:rFonts w:ascii="仿宋_GB2312" w:eastAsia="仿宋_GB2312"/>
      <w:kern w:val="0"/>
      <w:sz w:val="24"/>
      <w:szCs w:val="20"/>
    </w:rPr>
  </w:style>
  <w:style w:type="paragraph" w:styleId="7">
    <w:name w:val="footer"/>
    <w:basedOn w:val="1"/>
    <w:next w:val="1"/>
    <w:qFormat/>
    <w:uiPriority w:val="99"/>
    <w:pPr>
      <w:tabs>
        <w:tab w:val="center" w:pos="4153"/>
        <w:tab w:val="right" w:pos="8306"/>
      </w:tabs>
      <w:snapToGrid w:val="0"/>
      <w:jc w:val="left"/>
    </w:pPr>
    <w:rPr>
      <w:rFonts w:ascii="Calibri" w:hAnsi="Calibri"/>
      <w:kern w:val="0"/>
      <w:sz w:val="18"/>
      <w:szCs w:val="20"/>
    </w:rPr>
  </w:style>
  <w:style w:type="paragraph" w:styleId="8">
    <w:name w:val="Body Text Indent"/>
    <w:basedOn w:val="1"/>
    <w:qFormat/>
    <w:uiPriority w:val="0"/>
    <w:pPr>
      <w:spacing w:line="560" w:lineRule="exact"/>
      <w:ind w:firstLine="640" w:firstLineChars="200"/>
    </w:pPr>
  </w:style>
  <w:style w:type="paragraph" w:styleId="9">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unhideWhenUsed/>
    <w:qFormat/>
    <w:uiPriority w:val="39"/>
    <w:pPr>
      <w:spacing w:before="120"/>
      <w:jc w:val="left"/>
    </w:pPr>
    <w:rPr>
      <w:rFonts w:ascii="等线" w:eastAsia="等线"/>
      <w:b/>
      <w:bCs/>
      <w:i/>
      <w:iCs/>
      <w:sz w:val="24"/>
    </w:rPr>
  </w:style>
  <w:style w:type="paragraph" w:styleId="11">
    <w:name w:val="toc 2"/>
    <w:basedOn w:val="1"/>
    <w:next w:val="1"/>
    <w:unhideWhenUsed/>
    <w:qFormat/>
    <w:uiPriority w:val="39"/>
    <w:pPr>
      <w:spacing w:before="120"/>
      <w:ind w:left="300"/>
      <w:jc w:val="left"/>
    </w:pPr>
    <w:rPr>
      <w:rFonts w:ascii="等线" w:eastAsia="等线"/>
      <w:b/>
      <w:bCs/>
      <w:sz w:val="22"/>
      <w:szCs w:val="22"/>
    </w:rPr>
  </w:style>
  <w:style w:type="paragraph" w:styleId="12">
    <w:name w:val="Body Text First Indent 2"/>
    <w:basedOn w:val="8"/>
    <w:next w:val="1"/>
    <w:qFormat/>
    <w:uiPriority w:val="0"/>
    <w:pPr>
      <w:spacing w:after="120" w:line="240" w:lineRule="auto"/>
      <w:ind w:left="420" w:leftChars="200" w:firstLine="42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99"/>
    <w:rPr>
      <w:rFonts w:cs="Times New Roman"/>
      <w:b/>
    </w:rPr>
  </w:style>
  <w:style w:type="character" w:styleId="17">
    <w:name w:val="Hyperlink"/>
    <w:unhideWhenUsed/>
    <w:qFormat/>
    <w:uiPriority w:val="99"/>
    <w:rPr>
      <w:color w:val="0000FF"/>
      <w:u w:val="single"/>
    </w:rPr>
  </w:style>
  <w:style w:type="character" w:customStyle="1" w:styleId="18">
    <w:name w:val=" Char Char6"/>
    <w:basedOn w:val="15"/>
    <w:link w:val="3"/>
    <w:qFormat/>
    <w:locked/>
    <w:uiPriority w:val="9"/>
    <w:rPr>
      <w:b/>
      <w:bCs/>
      <w:kern w:val="44"/>
      <w:sz w:val="44"/>
      <w:szCs w:val="44"/>
    </w:rPr>
  </w:style>
  <w:style w:type="character" w:customStyle="1" w:styleId="19">
    <w:name w:val=" Char Char5"/>
    <w:basedOn w:val="15"/>
    <w:link w:val="4"/>
    <w:qFormat/>
    <w:locked/>
    <w:uiPriority w:val="9"/>
    <w:rPr>
      <w:rFonts w:ascii="Cambria" w:hAnsi="Cambria"/>
      <w:b/>
      <w:bCs/>
      <w:sz w:val="32"/>
      <w:szCs w:val="32"/>
    </w:rPr>
  </w:style>
  <w:style w:type="paragraph" w:customStyle="1" w:styleId="20">
    <w:name w:val="List Paragraph"/>
    <w:basedOn w:val="1"/>
    <w:qFormat/>
    <w:uiPriority w:val="34"/>
    <w:pPr>
      <w:ind w:firstLine="420" w:firstLineChars="200"/>
    </w:pPr>
  </w:style>
  <w:style w:type="paragraph" w:customStyle="1" w:styleId="21">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22">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3">
    <w:name w:val="四号正文"/>
    <w:basedOn w:val="1"/>
    <w:qFormat/>
    <w:uiPriority w:val="0"/>
    <w:pPr>
      <w:widowControl/>
      <w:spacing w:line="360" w:lineRule="auto"/>
      <w:jc w:val="left"/>
    </w:pPr>
    <w:rPr>
      <w:rFonts w:ascii="??" w:hAnsi="??" w:eastAsia="宋体"/>
      <w:color w:val="000000"/>
      <w:kern w:val="0"/>
      <w:sz w:val="28"/>
      <w:szCs w:val="21"/>
    </w:rPr>
  </w:style>
  <w:style w:type="paragraph" w:customStyle="1" w:styleId="24">
    <w:name w:val="BodyText"/>
    <w:basedOn w:val="1"/>
    <w:next w:val="25"/>
    <w:autoRedefine/>
    <w:qFormat/>
    <w:uiPriority w:val="0"/>
    <w:pPr>
      <w:spacing w:after="120"/>
      <w:textAlignment w:val="baseline"/>
    </w:pPr>
  </w:style>
  <w:style w:type="paragraph" w:customStyle="1" w:styleId="25">
    <w:name w:val="BodyText1I"/>
    <w:basedOn w:val="24"/>
    <w:autoRedefine/>
    <w:qFormat/>
    <w:uiPriority w:val="0"/>
    <w:pPr>
      <w:ind w:firstLine="420" w:firstLineChars="100"/>
    </w:p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defTabSz="914400">
              <a:defRPr lang="zh-CN" sz="1400" b="1" i="0" u="none" strike="noStrike" kern="1200" spc="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收、支决算总计变动情况图</a:t>
            </a:r>
          </a:p>
        </c:rich>
      </c:tx>
      <c:layout/>
      <c:overlay val="0"/>
      <c:spPr>
        <a:noFill/>
        <a:ln>
          <a:noFill/>
        </a:ln>
        <a:effectLst/>
      </c:spPr>
    </c:title>
    <c:autoTitleDeleted val="0"/>
    <c:plotArea>
      <c:layout>
        <c:manualLayout>
          <c:layoutTarget val="inner"/>
          <c:xMode val="edge"/>
          <c:yMode val="edge"/>
          <c:x val="0.0981691834825609"/>
          <c:y val="0.268844781445138"/>
          <c:w val="0.847975410931445"/>
          <c:h val="0.609924174843889"/>
        </c:manualLayout>
      </c:layout>
      <c:barChart>
        <c:barDir val="col"/>
        <c:grouping val="clustered"/>
        <c:varyColors val="0"/>
        <c:ser>
          <c:idx val="0"/>
          <c:order val="0"/>
          <c:tx>
            <c:strRef>
              <c:f>Sheet1!$B$1</c:f>
              <c:strCache>
                <c:ptCount val="1"/>
                <c:pt idx="0">
                  <c:v/>
                </c:pt>
              </c:strCache>
            </c:strRef>
          </c:tx>
          <c:spPr>
            <a:gradFill>
              <a:gsLst>
                <a:gs pos="0">
                  <a:srgbClr val="EE5596"/>
                </a:gs>
                <a:gs pos="100000">
                  <a:srgbClr val="F9B621"/>
                </a:gs>
              </a:gsLst>
              <a:lin ang="5400000" scaled="0"/>
            </a:gra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Sheet1!$A$2:$A$3</c:f>
              <c:strCache>
                <c:ptCount val="2"/>
                <c:pt idx="0">
                  <c:v>2022年</c:v>
                </c:pt>
                <c:pt idx="1">
                  <c:v>2023年</c:v>
                </c:pt>
              </c:strCache>
            </c:strRef>
          </c:cat>
          <c:val>
            <c:numRef>
              <c:f>Sheet1!$B$2:$B$3</c:f>
              <c:numCache>
                <c:formatCode>General</c:formatCode>
                <c:ptCount val="2"/>
                <c:pt idx="0">
                  <c:v>1996.21</c:v>
                </c:pt>
                <c:pt idx="1">
                  <c:v>1878.58</c:v>
                </c:pt>
              </c:numCache>
            </c:numRef>
          </c:val>
        </c:ser>
        <c:dLbls>
          <c:showLegendKey val="0"/>
          <c:showVal val="1"/>
          <c:showCatName val="0"/>
          <c:showSerName val="0"/>
          <c:showPercent val="0"/>
          <c:showBubbleSize val="0"/>
        </c:dLbls>
        <c:gapWidth val="219"/>
        <c:overlap val="-27"/>
        <c:axId val="285441266"/>
        <c:axId val="351947942"/>
      </c:barChart>
      <c:catAx>
        <c:axId val="285441266"/>
        <c:scaling>
          <c:orientation val="minMax"/>
        </c:scaling>
        <c:delete val="0"/>
        <c:axPos val="b"/>
        <c:majorGridlines>
          <c:spPr>
            <a:ln w="9525" cap="flat" cmpd="sng" algn="ctr">
              <a:solidFill>
                <a:schemeClr val="bg1">
                  <a:lumMod val="85000"/>
                </a:schemeClr>
              </a:solidFill>
              <a:round/>
            </a:ln>
            <a:effectLst/>
          </c:spPr>
        </c:majorGridlines>
        <c:title>
          <c:tx>
            <c:rich>
              <a:bodyPr rot="0" spcFirstLastPara="0" vertOverflow="ellipsis" vert="horz" wrap="square" anchor="ctr" anchorCtr="1"/>
              <a:lstStyle/>
              <a:p>
                <a:pPr defTabSz="914400">
                  <a:defRPr lang="zh-CN" sz="10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年度</a:t>
                </a:r>
              </a:p>
            </c:rich>
          </c:tx>
          <c:layout>
            <c:manualLayout>
              <c:xMode val="edge"/>
              <c:yMode val="edge"/>
              <c:x val="0.904374815983799"/>
              <c:y val="0.885677858053549"/>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351947942"/>
        <c:crosses val="autoZero"/>
        <c:auto val="1"/>
        <c:lblAlgn val="ctr"/>
        <c:lblOffset val="100"/>
        <c:noMultiLvlLbl val="0"/>
      </c:catAx>
      <c:valAx>
        <c:axId val="351947942"/>
        <c:scaling>
          <c:orientation val="minMax"/>
        </c:scaling>
        <c:delete val="0"/>
        <c:axPos val="l"/>
        <c:title>
          <c:tx>
            <c:rich>
              <a:bodyPr rot="-5400000" spcFirstLastPara="0" vertOverflow="ellipsis" vert="horz" wrap="square" anchor="ctr" anchorCtr="1"/>
              <a:lstStyle/>
              <a:p>
                <a:pPr defTabSz="914400">
                  <a:defRPr lang="zh-CN" sz="10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万元</a:t>
                </a:r>
              </a:p>
            </c:rich>
          </c:tx>
          <c:layout>
            <c:manualLayout>
              <c:xMode val="edge"/>
              <c:yMode val="edge"/>
              <c:x val="0.0597970524281227"/>
              <c:y val="0.097960050998725"/>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forceAA="0"/>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285441266"/>
        <c:crosses val="autoZero"/>
        <c:crossBetween val="between"/>
      </c:valAx>
      <c:spPr>
        <a:noFill/>
        <a:ln>
          <a:solidFill>
            <a:schemeClr val="bg1">
              <a:lumMod val="85000"/>
            </a:schemeClr>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a:outerShdw blurRad="63500" dist="37357" dir="2700000" sx="0" sy="0" rotWithShape="0">
        <a:scrgbClr r="0" g="0" b="0"/>
      </a:outerShdw>
    </a:effectLst>
  </c:spPr>
  <c:txPr>
    <a:bodyPr/>
    <a:lstStyle/>
    <a:p>
      <a:pPr>
        <a:defRPr lang="zh-CN">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tx>
            <c:strRef>
              <c:f>Sheet1!$B$1</c:f>
              <c:strCache>
                <c:ptCount val="1"/>
                <c:pt idx="0">
                  <c:v>列2</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一般公共预算财政拨款收入69</a:t>
                    </a:r>
                    <a:r>
                      <a:rPr lang="en-US" altLang="zh-CN"/>
                      <a:t>.22</a:t>
                    </a:r>
                    <a:r>
                      <a:t>%</a:t>
                    </a:r>
                  </a:p>
                </c:rich>
              </c:tx>
              <c:dLblPos val="inEnd"/>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其他收入3</a:t>
                    </a:r>
                    <a:r>
                      <a:rPr lang="en-US" altLang="zh-CN"/>
                      <a:t>0.78</a:t>
                    </a:r>
                    <a:r>
                      <a:t>%</a:t>
                    </a:r>
                  </a:p>
                </c:rich>
              </c:tx>
              <c:dLblPos val="inEnd"/>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1282.03</c:v>
                </c:pt>
                <c:pt idx="1">
                  <c:v>570.11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支出决算结构图</a:t>
            </a:r>
          </a:p>
        </c:rich>
      </c:tx>
      <c:layout/>
      <c:overlay val="0"/>
      <c:spPr>
        <a:noFill/>
        <a:ln>
          <a:noFill/>
        </a:ln>
        <a:effectLst/>
      </c:spPr>
    </c:title>
    <c:autoTitleDeleted val="0"/>
    <c:plotArea>
      <c:layout/>
      <c:pieChart>
        <c:varyColors val="1"/>
        <c:ser>
          <c:idx val="0"/>
          <c:order val="0"/>
          <c:tx>
            <c:strRef>
              <c:f>Sheet1!$B$1</c:f>
              <c:strCache>
                <c:ptCount val="1"/>
                <c:pt idx="0">
                  <c:v>列1</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0811581404277804"/>
                  <c:y val="-0.24148956772857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基本支出88%</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119785034001087"/>
                  <c:y val="0.05468219075996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项目支出12%</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1628.97</c:v>
                </c:pt>
                <c:pt idx="1">
                  <c:v>211.77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00304259634888"/>
          <c:y val="0.41412349183818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财政拨款收、支决算总计变动情况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Sheet1!$A$2:$A$3</c:f>
              <c:strCache>
                <c:ptCount val="2"/>
                <c:pt idx="0">
                  <c:v>2022年</c:v>
                </c:pt>
                <c:pt idx="1">
                  <c:v>2023年</c:v>
                </c:pt>
              </c:strCache>
            </c:strRef>
          </c:cat>
          <c:val>
            <c:numRef>
              <c:f>Sheet1!$B$2:$B$3</c:f>
              <c:numCache>
                <c:formatCode>General</c:formatCode>
                <c:ptCount val="2"/>
                <c:pt idx="0">
                  <c:v>1313.03</c:v>
                </c:pt>
                <c:pt idx="1">
                  <c:v>1282.03</c:v>
                </c:pt>
              </c:numCache>
            </c:numRef>
          </c:val>
        </c:ser>
        <c:dLbls>
          <c:showLegendKey val="0"/>
          <c:showVal val="1"/>
          <c:showCatName val="0"/>
          <c:showSerName val="0"/>
          <c:showPercent val="0"/>
          <c:showBubbleSize val="0"/>
        </c:dLbls>
        <c:gapWidth val="150"/>
        <c:overlap val="0"/>
        <c:axId val="699680085"/>
        <c:axId val="899438002"/>
      </c:barChart>
      <c:catAx>
        <c:axId val="699680085"/>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年度</a:t>
                </a:r>
              </a:p>
            </c:rich>
          </c:tx>
          <c:layout>
            <c:manualLayout>
              <c:xMode val="edge"/>
              <c:yMode val="edge"/>
              <c:x val="0.92646376063967"/>
              <c:y val="0.805477528089888"/>
            </c:manualLayout>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99438002"/>
        <c:crosses val="autoZero"/>
        <c:auto val="1"/>
        <c:lblAlgn val="ctr"/>
        <c:lblOffset val="100"/>
        <c:noMultiLvlLbl val="0"/>
      </c:catAx>
      <c:valAx>
        <c:axId val="899438002"/>
        <c:scaling>
          <c:orientation val="minMax"/>
        </c:scaling>
        <c:delete val="0"/>
        <c:axPos val="l"/>
        <c:majorGridlines>
          <c:spPr>
            <a:ln w="9525" cap="flat" cmpd="sng" algn="ctr">
              <a:solidFill>
                <a:schemeClr val="lt1">
                  <a:lumMod val="902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万元</a:t>
                </a:r>
              </a:p>
            </c:rich>
          </c:tx>
          <c:layout>
            <c:manualLayout>
              <c:xMode val="edge"/>
              <c:yMode val="edge"/>
              <c:x val="0.0341759092081506"/>
              <c:y val="0.00702247191011236"/>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968008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一般公共预算财政拨款支出决算变动情况</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系列 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Sheet1!$A$2:$A$3</c:f>
              <c:strCache>
                <c:ptCount val="2"/>
                <c:pt idx="0">
                  <c:v>2022年</c:v>
                </c:pt>
                <c:pt idx="1">
                  <c:v>2023年</c:v>
                </c:pt>
              </c:strCache>
            </c:strRef>
          </c:cat>
          <c:val>
            <c:numRef>
              <c:f>Sheet1!$B$2:$B$3</c:f>
              <c:numCache>
                <c:formatCode>General</c:formatCode>
                <c:ptCount val="2"/>
                <c:pt idx="0">
                  <c:v>1313.03</c:v>
                </c:pt>
                <c:pt idx="1">
                  <c:v>1282.03</c:v>
                </c:pt>
              </c:numCache>
            </c:numRef>
          </c:val>
        </c:ser>
        <c:dLbls>
          <c:showLegendKey val="0"/>
          <c:showVal val="1"/>
          <c:showCatName val="0"/>
          <c:showSerName val="0"/>
          <c:showPercent val="0"/>
          <c:showBubbleSize val="0"/>
        </c:dLbls>
        <c:gapWidth val="246"/>
        <c:overlap val="-28"/>
        <c:axId val="559545911"/>
        <c:axId val="385272785"/>
      </c:barChart>
      <c:catAx>
        <c:axId val="559545911"/>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年度</a:t>
                </a:r>
              </a:p>
            </c:rich>
          </c:tx>
          <c:layout>
            <c:manualLayout>
              <c:xMode val="edge"/>
              <c:yMode val="edge"/>
              <c:x val="0.91220721961973"/>
              <c:y val="0.811244979919679"/>
            </c:manualLayout>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5272785"/>
        <c:crosses val="autoZero"/>
        <c:auto val="1"/>
        <c:lblAlgn val="ctr"/>
        <c:lblOffset val="100"/>
        <c:noMultiLvlLbl val="0"/>
      </c:catAx>
      <c:valAx>
        <c:axId val="385272785"/>
        <c:scaling>
          <c:orientation val="minMax"/>
        </c:scaling>
        <c:delete val="0"/>
        <c:axPos val="l"/>
        <c:majorGridlines>
          <c:spPr>
            <a:ln w="9525" cap="flat" cmpd="sng" algn="ctr">
              <a:solidFill>
                <a:schemeClr val="lt1">
                  <a:lumMod val="902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万元</a:t>
                </a:r>
              </a:p>
            </c:rich>
          </c:tx>
          <c:layout>
            <c:manualLayout>
              <c:xMode val="edge"/>
              <c:yMode val="edge"/>
              <c:x val="0.0344447506200055"/>
              <c:y val="0.029272646140116"/>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954591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一般公共预算财政拨款支出决算结构情况</a:t>
            </a:r>
          </a:p>
        </c:rich>
      </c:tx>
      <c:layout/>
      <c:overlay val="0"/>
      <c:spPr>
        <a:noFill/>
        <a:ln>
          <a:noFill/>
        </a:ln>
        <a:effectLst/>
      </c:spPr>
    </c:title>
    <c:autoTitleDeleted val="0"/>
    <c:plotArea>
      <c:layout/>
      <c:pieChart>
        <c:varyColors val="1"/>
        <c:ser>
          <c:idx val="0"/>
          <c:order val="0"/>
          <c:tx>
            <c:strRef>
              <c:f>Sheet1!$B$1</c:f>
              <c:strCache>
                <c:ptCount val="1"/>
                <c:pt idx="0">
                  <c:v>列1</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manualLayout>
                  <c:x val="-0.13654247229008"/>
                  <c:y val="-0.179497229735271"/>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公共安全支出</a:t>
                    </a:r>
                    <a:r>
                      <a:rPr lang="en-US" altLang="zh-CN"/>
                      <a:t>79.68</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332493144832001"/>
                  <c:y val="0.0870984235525044"/>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住房保障支出</a:t>
                    </a:r>
                    <a:r>
                      <a:rPr lang="en-US" altLang="zh-CN"/>
                      <a:t>7.75</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698784253331813"/>
                  <c:y val="0.00609441360647451"/>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卫生健康支出</a:t>
                    </a:r>
                    <a:r>
                      <a:rPr lang="en-US" altLang="zh-CN"/>
                      <a:t>3.61</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638307182435672"/>
                  <c:y val="0.0646339005583394"/>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社会保障和就业支出</a:t>
                    </a:r>
                    <a:r>
                      <a:rPr lang="en-US" altLang="zh-CN"/>
                      <a:t>8.96</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公共安全支出</c:v>
                </c:pt>
                <c:pt idx="1">
                  <c:v>住房保障支出</c:v>
                </c:pt>
                <c:pt idx="2">
                  <c:v>卫生健康支出</c:v>
                </c:pt>
                <c:pt idx="3">
                  <c:v>社会保障和就业支出</c:v>
                </c:pt>
              </c:strCache>
            </c:strRef>
          </c:cat>
          <c:val>
            <c:numRef>
              <c:f>Sheet1!$B$2:$B$5</c:f>
              <c:numCache>
                <c:formatCode>General</c:formatCode>
                <c:ptCount val="4"/>
                <c:pt idx="0">
                  <c:v>1021.56</c:v>
                </c:pt>
                <c:pt idx="1">
                  <c:v>99.37</c:v>
                </c:pt>
                <c:pt idx="2">
                  <c:v>46.29</c:v>
                </c:pt>
                <c:pt idx="3">
                  <c:v>114.82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a:t>“</a:t>
            </a:r>
            <a:r>
              <a:t>三公</a:t>
            </a:r>
            <a:r>
              <a:rPr lang="en-US" altLang="zh-CN"/>
              <a:t>”</a:t>
            </a:r>
            <a:r>
              <a:t>经费财政拨款支出结构</a:t>
            </a:r>
          </a:p>
        </c:rich>
      </c:tx>
      <c:layout/>
      <c:overlay val="0"/>
      <c:spPr>
        <a:noFill/>
        <a:ln>
          <a:noFill/>
        </a:ln>
        <a:effectLst/>
      </c:spPr>
    </c:title>
    <c:autoTitleDeleted val="0"/>
    <c:plotArea>
      <c:layout/>
      <c:pieChart>
        <c:varyColors val="1"/>
        <c:ser>
          <c:idx val="0"/>
          <c:order val="0"/>
          <c:tx>
            <c:strRef>
              <c:f>Sheet1!$B$1</c:f>
              <c:strCache>
                <c:ptCount val="1"/>
                <c:pt idx="0">
                  <c:v>列1</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0752091809676423"/>
                  <c:y val="-0.206713110026184"/>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公务用车运行维护费</a:t>
                    </a:r>
                    <a:r>
                      <a:rPr lang="en-US" altLang="zh-CN"/>
                      <a:t>89.72</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13260344827636"/>
                  <c:y val="0.0373184630054324"/>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公务接待费10</a:t>
                    </a:r>
                    <a:r>
                      <a:rPr lang="en-US" altLang="zh-CN"/>
                      <a:t>.28</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公务用车运行维护费</c:v>
                </c:pt>
                <c:pt idx="1">
                  <c:v>公务接待费</c:v>
                </c:pt>
              </c:strCache>
            </c:strRef>
          </c:cat>
          <c:val>
            <c:numRef>
              <c:f>Sheet1!$B$2:$B$3</c:f>
              <c:numCache>
                <c:formatCode>General</c:formatCode>
                <c:ptCount val="2"/>
                <c:pt idx="0">
                  <c:v>19.9</c:v>
                </c:pt>
                <c:pt idx="1">
                  <c:v>2.28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14987</Words>
  <Characters>16501</Characters>
  <Lines>0</Lines>
  <Paragraphs>0</Paragraphs>
  <TotalTime>185</TotalTime>
  <ScaleCrop>false</ScaleCrop>
  <LinksUpToDate>false</LinksUpToDate>
  <CharactersWithSpaces>16568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2021-09-10T11:29:00Z</dcterms:created>
  <dc:creator>Administrator</dc:creator>
  <cp:lastModifiedBy>wuli小王子</cp:lastModifiedBy>
  <cp:lastPrinted>2024-09-12T08:57:00Z</cp:lastPrinted>
  <dcterms:modified xsi:type="dcterms:W3CDTF">2024-09-30T02:53:07Z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7E76A03B1D314C1187021B6606AE2C47</vt:lpwstr>
  </property>
</Properties>
</file>