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b/>
          <w:sz w:val="44"/>
          <w:szCs w:val="44"/>
        </w:rPr>
        <w:t>自贡市</w:t>
      </w:r>
      <w:r>
        <w:rPr>
          <w:rFonts w:hint="eastAsia" w:ascii="宋体" w:hAnsi="宋体"/>
          <w:b/>
          <w:sz w:val="44"/>
          <w:szCs w:val="44"/>
          <w:lang w:eastAsia="zh-CN"/>
        </w:rPr>
        <w:t>荣县人民检察院</w:t>
      </w:r>
    </w:p>
    <w:p>
      <w:pPr>
        <w:jc w:val="center"/>
        <w:rPr>
          <w:rFonts w:hint="eastAsia" w:ascii="宋体" w:hAnsi="宋体"/>
          <w:b/>
          <w:sz w:val="44"/>
          <w:szCs w:val="44"/>
        </w:rPr>
      </w:pPr>
      <w:r>
        <w:rPr>
          <w:rFonts w:hint="eastAsia"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年部门预算编制的说明</w:t>
      </w:r>
    </w:p>
    <w:p>
      <w:pPr>
        <w:widowControl/>
        <w:jc w:val="center"/>
        <w:rPr>
          <w:rFonts w:ascii="黑体" w:hAnsi="黑体" w:eastAsia="黑体"/>
          <w:color w:val="000000"/>
          <w:sz w:val="48"/>
          <w:szCs w:val="48"/>
        </w:rPr>
      </w:pPr>
    </w:p>
    <w:p>
      <w:pPr>
        <w:widowControl/>
        <w:jc w:val="center"/>
        <w:rPr>
          <w:rFonts w:hint="eastAsia" w:ascii="黑体" w:hAnsi="黑体" w:eastAsia="黑体"/>
          <w:color w:val="000000"/>
          <w:sz w:val="48"/>
          <w:szCs w:val="48"/>
        </w:rPr>
      </w:pPr>
      <w:bookmarkStart w:id="0" w:name="_Hlk72430755"/>
      <w:r>
        <w:rPr>
          <w:rFonts w:hint="eastAsia" w:ascii="黑体" w:hAnsi="黑体" w:eastAsia="黑体"/>
          <w:color w:val="000000"/>
          <w:sz w:val="48"/>
          <w:szCs w:val="48"/>
        </w:rPr>
        <w:t>目录</w:t>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TOC \o "1-3" \h \z \u </w:instrText>
      </w:r>
      <w:r>
        <w:rPr>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"_Toc72430477"</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一、基本职能及主要工作</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_Toc72430477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3</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"_Toc72430478"</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（一）</w:t>
      </w:r>
      <w:r>
        <w:rPr>
          <w:rStyle w:val="11"/>
          <w:rFonts w:hint="eastAsia" w:ascii="仿宋_GB2312" w:eastAsia="仿宋_GB2312"/>
          <w:b w:val="0"/>
          <w:bCs w:val="0"/>
          <w:sz w:val="28"/>
          <w:szCs w:val="28"/>
          <w:lang w:val="en-US" w:eastAsia="zh-CN"/>
        </w:rPr>
        <w:t>部门</w:t>
      </w:r>
      <w:r>
        <w:rPr>
          <w:rStyle w:val="11"/>
          <w:rFonts w:hint="eastAsia" w:ascii="仿宋_GB2312" w:eastAsia="仿宋_GB2312"/>
          <w:b w:val="0"/>
          <w:bCs w:val="0"/>
          <w:sz w:val="28"/>
          <w:szCs w:val="28"/>
        </w:rPr>
        <w:t>职能简介。</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_Toc72430478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3</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"_Toc72430479"</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（二）</w:t>
      </w:r>
      <w:r>
        <w:rPr>
          <w:rStyle w:val="11"/>
          <w:rFonts w:hint="eastAsia" w:ascii="仿宋_GB2312" w:eastAsia="仿宋_GB2312"/>
          <w:b w:val="0"/>
          <w:bCs w:val="0"/>
          <w:sz w:val="28"/>
          <w:szCs w:val="28"/>
          <w:lang w:val="en-US" w:eastAsia="zh-CN"/>
        </w:rPr>
        <w:t>部门</w:t>
      </w:r>
      <w:r>
        <w:rPr>
          <w:rStyle w:val="11"/>
          <w:rFonts w:hint="eastAsia" w:ascii="仿宋_GB2312" w:eastAsia="仿宋_GB2312"/>
          <w:b w:val="0"/>
          <w:bCs w:val="0"/>
          <w:sz w:val="28"/>
          <w:szCs w:val="28"/>
        </w:rPr>
        <w:t>202</w:t>
      </w:r>
      <w:r>
        <w:rPr>
          <w:rStyle w:val="11"/>
          <w:rFonts w:hint="eastAsia" w:ascii="仿宋_GB2312" w:eastAsia="仿宋_GB2312"/>
          <w:b w:val="0"/>
          <w:bCs w:val="0"/>
          <w:sz w:val="28"/>
          <w:szCs w:val="28"/>
          <w:lang w:val="en-US" w:eastAsia="zh-CN"/>
        </w:rPr>
        <w:t>3</w:t>
      </w:r>
      <w:r>
        <w:rPr>
          <w:rStyle w:val="11"/>
          <w:rFonts w:hint="eastAsia" w:ascii="仿宋_GB2312" w:eastAsia="仿宋_GB2312"/>
          <w:b w:val="0"/>
          <w:bCs w:val="0"/>
          <w:sz w:val="28"/>
          <w:szCs w:val="28"/>
        </w:rPr>
        <w:t>年重点工作。</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_Toc72430479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3</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"_Toc72430480"</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二、部门概况</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_Toc72430480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4</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"_Toc72430481"</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三、收支预算情况说明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_Toc72430481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4</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"_Toc72430482"</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（一）收入预算情况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_Toc72430482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"_Toc72430483"</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（二）支出预算情况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_Toc72430483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4</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"_Toc72430484"</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四、财政拨款收支预算情况说明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_Toc72430484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5</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"_Toc72430485"</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五、一般公共预算当年拨款情况说明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_Toc72430485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5</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"_Toc72430486"</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（一）一般公共预算当年拨款规模变化情况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_Toc72430486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5</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"_Toc72430487"</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（二）一般公共预算当年拨款结构情况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_Toc72430487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6</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"_Toc72430488"</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（三）一般公共预算当年拨款具体使用情况：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_Toc72430488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6</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"_Toc72430489"</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六、一般公共预算基本支出情况说明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_Toc72430489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7</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"_Toc72430490"</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七、“三公”经费财政拨款预算安排情况</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_Toc72430490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7</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"_Toc72430491"</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八、政府性基金预算支出情况说明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_Toc72430491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8</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"_Toc72430492"</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九、国有资本经营预算支出情况说明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_Toc72430492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8</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"_Toc72430493"</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十、其他重要事项的情况说明</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_Toc72430493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9</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"_Toc72430494"</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（一）机关运行经费情况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_Toc72430494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9</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"_Toc72430495"</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（二）政府采购情况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_Toc72430495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9</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"_Toc72430496"</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（三）国有资产占有使用情况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_Toc72430496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9</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8"/>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sz w:val="28"/>
          <w:szCs w:val="28"/>
        </w:rPr>
      </w:pPr>
      <w:r>
        <w:rPr>
          <w:rStyle w:val="11"/>
          <w:rFonts w:hint="eastAsia" w:ascii="仿宋_GB2312" w:eastAsia="仿宋_GB2312"/>
          <w:b w:val="0"/>
          <w:bCs w:val="0"/>
          <w:sz w:val="28"/>
          <w:szCs w:val="28"/>
        </w:rPr>
        <w:fldChar w:fldCharType="begin"/>
      </w:r>
      <w:r>
        <w:rPr>
          <w:rStyle w:val="11"/>
          <w:rFonts w:hint="eastAsia" w:ascii="仿宋_GB2312" w:eastAsia="仿宋_GB2312"/>
          <w:b w:val="0"/>
          <w:bCs w:val="0"/>
          <w:sz w:val="28"/>
          <w:szCs w:val="28"/>
        </w:rPr>
        <w:instrText xml:space="preserve"> </w:instrText>
      </w:r>
      <w:r>
        <w:rPr>
          <w:rFonts w:hint="eastAsia" w:ascii="仿宋_GB2312" w:eastAsia="仿宋_GB2312"/>
          <w:b w:val="0"/>
          <w:bCs w:val="0"/>
          <w:sz w:val="28"/>
          <w:szCs w:val="28"/>
        </w:rPr>
        <w:instrText xml:space="preserve">HYPERLINK \l "_Toc72430497"</w:instrText>
      </w:r>
      <w:r>
        <w:rPr>
          <w:rStyle w:val="11"/>
          <w:rFonts w:hint="eastAsia" w:ascii="仿宋_GB2312" w:eastAsia="仿宋_GB2312"/>
          <w:b w:val="0"/>
          <w:bCs w:val="0"/>
          <w:sz w:val="28"/>
          <w:szCs w:val="28"/>
        </w:rPr>
        <w:instrText xml:space="preserve"> </w:instrText>
      </w:r>
      <w:r>
        <w:rPr>
          <w:rStyle w:val="11"/>
          <w:rFonts w:hint="eastAsia" w:ascii="仿宋_GB2312" w:eastAsia="仿宋_GB2312"/>
          <w:b w:val="0"/>
          <w:bCs w:val="0"/>
          <w:sz w:val="28"/>
          <w:szCs w:val="28"/>
        </w:rPr>
        <w:fldChar w:fldCharType="separate"/>
      </w:r>
      <w:r>
        <w:rPr>
          <w:rStyle w:val="11"/>
          <w:rFonts w:hint="eastAsia" w:ascii="仿宋_GB2312" w:eastAsia="仿宋_GB2312"/>
          <w:b w:val="0"/>
          <w:bCs w:val="0"/>
          <w:sz w:val="28"/>
          <w:szCs w:val="28"/>
        </w:rPr>
        <w:t>（四）绩效目标设置情况</w:t>
      </w:r>
      <w:r>
        <w:rPr>
          <w:rFonts w:hint="eastAsia" w:ascii="仿宋_GB2312" w:eastAsia="仿宋_GB2312"/>
          <w:b w:val="0"/>
          <w:bCs w:val="0"/>
          <w:sz w:val="28"/>
          <w:szCs w:val="28"/>
        </w:rPr>
        <w:tab/>
      </w:r>
      <w:r>
        <w:rPr>
          <w:rFonts w:hint="eastAsia" w:ascii="仿宋_GB2312" w:eastAsia="仿宋_GB2312"/>
          <w:b w:val="0"/>
          <w:bCs w:val="0"/>
          <w:sz w:val="28"/>
          <w:szCs w:val="28"/>
        </w:rPr>
        <w:fldChar w:fldCharType="begin"/>
      </w:r>
      <w:r>
        <w:rPr>
          <w:rFonts w:hint="eastAsia" w:ascii="仿宋_GB2312" w:eastAsia="仿宋_GB2312"/>
          <w:b w:val="0"/>
          <w:bCs w:val="0"/>
          <w:sz w:val="28"/>
          <w:szCs w:val="28"/>
        </w:rPr>
        <w:instrText xml:space="preserve"> PAGEREF _Toc72430497 \h </w:instrText>
      </w:r>
      <w:r>
        <w:rPr>
          <w:rFonts w:hint="eastAsia" w:ascii="仿宋_GB2312" w:eastAsia="仿宋_GB2312"/>
          <w:b w:val="0"/>
          <w:bCs w:val="0"/>
          <w:sz w:val="28"/>
          <w:szCs w:val="28"/>
        </w:rPr>
        <w:fldChar w:fldCharType="separate"/>
      </w:r>
      <w:r>
        <w:rPr>
          <w:rFonts w:hint="eastAsia" w:ascii="仿宋_GB2312" w:eastAsia="仿宋_GB2312"/>
          <w:b w:val="0"/>
          <w:bCs w:val="0"/>
          <w:sz w:val="28"/>
          <w:szCs w:val="28"/>
        </w:rPr>
        <w:t xml:space="preserve">- </w:t>
      </w:r>
      <w:r>
        <w:rPr>
          <w:rFonts w:hint="eastAsia" w:ascii="仿宋_GB2312" w:eastAsia="仿宋_GB2312"/>
          <w:b w:val="0"/>
          <w:bCs w:val="0"/>
          <w:sz w:val="28"/>
          <w:szCs w:val="28"/>
          <w:lang w:val="en-US" w:eastAsia="zh-CN"/>
        </w:rPr>
        <w:t>9</w:t>
      </w:r>
      <w:r>
        <w:rPr>
          <w:rFonts w:hint="eastAsia" w:ascii="仿宋_GB2312" w:eastAsia="仿宋_GB2312"/>
          <w:b w:val="0"/>
          <w:bCs w:val="0"/>
          <w:sz w:val="28"/>
          <w:szCs w:val="28"/>
        </w:rPr>
        <w:t xml:space="preserve"> -</w:t>
      </w:r>
      <w:r>
        <w:rPr>
          <w:rFonts w:hint="eastAsia" w:ascii="仿宋_GB2312" w:eastAsia="仿宋_GB2312"/>
          <w:b w:val="0"/>
          <w:bCs w:val="0"/>
          <w:sz w:val="28"/>
          <w:szCs w:val="28"/>
        </w:rPr>
        <w:fldChar w:fldCharType="end"/>
      </w:r>
      <w:r>
        <w:rPr>
          <w:rStyle w:val="11"/>
          <w:rFonts w:hint="eastAsia" w:ascii="仿宋_GB2312" w:eastAsia="仿宋_GB2312"/>
          <w:b w:val="0"/>
          <w:bCs w:val="0"/>
          <w:sz w:val="28"/>
          <w:szCs w:val="28"/>
        </w:rPr>
        <w:fldChar w:fldCharType="end"/>
      </w:r>
    </w:p>
    <w:p>
      <w:pPr>
        <w:pStyle w:val="7"/>
        <w:pageBreakBefore w:val="0"/>
        <w:widowControl w:val="0"/>
        <w:tabs>
          <w:tab w:val="right" w:leader="dot" w:pos="8296"/>
        </w:tabs>
        <w:kinsoku/>
        <w:wordWrap/>
        <w:overflowPunct/>
        <w:topLinePunct w:val="0"/>
        <w:bidi w:val="0"/>
        <w:spacing w:line="580" w:lineRule="exact"/>
        <w:textAlignment w:val="auto"/>
        <w:rPr>
          <w:rFonts w:hint="eastAsia" w:ascii="仿宋_GB2312" w:hAnsi="Calibri" w:eastAsia="仿宋_GB2312"/>
          <w:b w:val="0"/>
          <w:bCs w:val="0"/>
          <w:i w:val="0"/>
          <w:iCs w:val="0"/>
          <w:sz w:val="28"/>
          <w:szCs w:val="28"/>
        </w:rPr>
      </w:pPr>
      <w:r>
        <w:rPr>
          <w:rStyle w:val="11"/>
          <w:rFonts w:hint="eastAsia" w:ascii="仿宋_GB2312" w:eastAsia="仿宋_GB2312"/>
          <w:b w:val="0"/>
          <w:bCs w:val="0"/>
          <w:i w:val="0"/>
          <w:iCs w:val="0"/>
          <w:sz w:val="28"/>
          <w:szCs w:val="28"/>
        </w:rPr>
        <w:fldChar w:fldCharType="begin"/>
      </w:r>
      <w:r>
        <w:rPr>
          <w:rStyle w:val="11"/>
          <w:rFonts w:hint="eastAsia" w:ascii="仿宋_GB2312" w:eastAsia="仿宋_GB2312"/>
          <w:b w:val="0"/>
          <w:bCs w:val="0"/>
          <w:i w:val="0"/>
          <w:iCs w:val="0"/>
          <w:sz w:val="28"/>
          <w:szCs w:val="28"/>
        </w:rPr>
        <w:instrText xml:space="preserve"> </w:instrText>
      </w:r>
      <w:r>
        <w:rPr>
          <w:rFonts w:hint="eastAsia" w:ascii="仿宋_GB2312" w:eastAsia="仿宋_GB2312"/>
          <w:b w:val="0"/>
          <w:bCs w:val="0"/>
          <w:i w:val="0"/>
          <w:iCs w:val="0"/>
          <w:sz w:val="28"/>
          <w:szCs w:val="28"/>
        </w:rPr>
        <w:instrText xml:space="preserve">HYPERLINK \l "_Toc72430498"</w:instrText>
      </w:r>
      <w:r>
        <w:rPr>
          <w:rStyle w:val="11"/>
          <w:rFonts w:hint="eastAsia" w:ascii="仿宋_GB2312" w:eastAsia="仿宋_GB2312"/>
          <w:b w:val="0"/>
          <w:bCs w:val="0"/>
          <w:i w:val="0"/>
          <w:iCs w:val="0"/>
          <w:sz w:val="28"/>
          <w:szCs w:val="28"/>
        </w:rPr>
        <w:instrText xml:space="preserve"> </w:instrText>
      </w:r>
      <w:r>
        <w:rPr>
          <w:rStyle w:val="11"/>
          <w:rFonts w:hint="eastAsia" w:ascii="仿宋_GB2312" w:eastAsia="仿宋_GB2312"/>
          <w:b w:val="0"/>
          <w:bCs w:val="0"/>
          <w:i w:val="0"/>
          <w:iCs w:val="0"/>
          <w:sz w:val="28"/>
          <w:szCs w:val="28"/>
        </w:rPr>
        <w:fldChar w:fldCharType="separate"/>
      </w:r>
      <w:r>
        <w:rPr>
          <w:rStyle w:val="11"/>
          <w:rFonts w:hint="eastAsia" w:ascii="仿宋_GB2312" w:eastAsia="仿宋_GB2312"/>
          <w:b w:val="0"/>
          <w:bCs w:val="0"/>
          <w:i w:val="0"/>
          <w:iCs w:val="0"/>
          <w:sz w:val="28"/>
          <w:szCs w:val="28"/>
        </w:rPr>
        <w:t>十一、名词解释</w:t>
      </w:r>
      <w:r>
        <w:rPr>
          <w:rFonts w:hint="eastAsia" w:ascii="仿宋_GB2312" w:eastAsia="仿宋_GB2312"/>
          <w:b w:val="0"/>
          <w:bCs w:val="0"/>
          <w:i w:val="0"/>
          <w:iCs w:val="0"/>
          <w:sz w:val="28"/>
          <w:szCs w:val="28"/>
        </w:rPr>
        <w:tab/>
      </w:r>
      <w:r>
        <w:rPr>
          <w:rFonts w:hint="eastAsia" w:ascii="仿宋_GB2312" w:eastAsia="仿宋_GB2312"/>
          <w:b w:val="0"/>
          <w:bCs w:val="0"/>
          <w:i w:val="0"/>
          <w:iCs w:val="0"/>
          <w:sz w:val="28"/>
          <w:szCs w:val="28"/>
        </w:rPr>
        <w:fldChar w:fldCharType="begin"/>
      </w:r>
      <w:r>
        <w:rPr>
          <w:rFonts w:hint="eastAsia" w:ascii="仿宋_GB2312" w:eastAsia="仿宋_GB2312"/>
          <w:b w:val="0"/>
          <w:bCs w:val="0"/>
          <w:i w:val="0"/>
          <w:iCs w:val="0"/>
          <w:sz w:val="28"/>
          <w:szCs w:val="28"/>
        </w:rPr>
        <w:instrText xml:space="preserve"> PAGEREF _Toc72430498 \h </w:instrText>
      </w:r>
      <w:r>
        <w:rPr>
          <w:rFonts w:hint="eastAsia" w:ascii="仿宋_GB2312" w:eastAsia="仿宋_GB2312"/>
          <w:b w:val="0"/>
          <w:bCs w:val="0"/>
          <w:i w:val="0"/>
          <w:iCs w:val="0"/>
          <w:sz w:val="28"/>
          <w:szCs w:val="28"/>
        </w:rPr>
        <w:fldChar w:fldCharType="separate"/>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lang w:val="en-US" w:eastAsia="zh-CN"/>
        </w:rPr>
        <w:t>10</w:t>
      </w:r>
      <w:r>
        <w:rPr>
          <w:rFonts w:hint="eastAsia" w:ascii="仿宋_GB2312" w:eastAsia="仿宋_GB2312"/>
          <w:b w:val="0"/>
          <w:bCs w:val="0"/>
          <w:i w:val="0"/>
          <w:iCs w:val="0"/>
          <w:sz w:val="28"/>
          <w:szCs w:val="28"/>
        </w:rPr>
        <w:t xml:space="preserve"> -</w:t>
      </w:r>
      <w:r>
        <w:rPr>
          <w:rFonts w:hint="eastAsia" w:ascii="仿宋_GB2312" w:eastAsia="仿宋_GB2312"/>
          <w:b w:val="0"/>
          <w:bCs w:val="0"/>
          <w:i w:val="0"/>
          <w:iCs w:val="0"/>
          <w:sz w:val="28"/>
          <w:szCs w:val="28"/>
        </w:rPr>
        <w:fldChar w:fldCharType="end"/>
      </w:r>
      <w:r>
        <w:rPr>
          <w:rStyle w:val="11"/>
          <w:rFonts w:hint="eastAsia" w:ascii="仿宋_GB2312" w:eastAsia="仿宋_GB2312"/>
          <w:b w:val="0"/>
          <w:bCs w:val="0"/>
          <w:i w:val="0"/>
          <w:iCs w:val="0"/>
          <w:sz w:val="28"/>
          <w:szCs w:val="28"/>
        </w:rPr>
        <w:fldChar w:fldCharType="end"/>
      </w:r>
    </w:p>
    <w:p>
      <w:pPr>
        <w:pageBreakBefore w:val="0"/>
        <w:widowControl w:val="0"/>
        <w:kinsoku/>
        <w:wordWrap/>
        <w:overflowPunct/>
        <w:topLinePunct w:val="0"/>
        <w:bidi w:val="0"/>
        <w:spacing w:line="580" w:lineRule="exact"/>
        <w:ind w:firstLine="2100" w:firstLineChars="750"/>
        <w:textAlignment w:val="auto"/>
        <w:rPr>
          <w:rFonts w:ascii="仿宋_GB2312" w:hAnsi="仿宋"/>
          <w:color w:val="FF0000"/>
          <w:sz w:val="32"/>
          <w:szCs w:val="32"/>
        </w:rPr>
      </w:pPr>
      <w:r>
        <w:rPr>
          <w:rFonts w:hint="eastAsia" w:ascii="仿宋_GB2312" w:eastAsia="仿宋_GB2312"/>
          <w:sz w:val="28"/>
          <w:szCs w:val="28"/>
          <w:lang w:val="zh-CN"/>
        </w:rPr>
        <w:fldChar w:fldCharType="end"/>
      </w:r>
      <w:bookmarkEnd w:id="0"/>
      <w:bookmarkStart w:id="1" w:name="_Hlk72430788"/>
    </w:p>
    <w:p>
      <w:pPr>
        <w:pageBreakBefore w:val="0"/>
        <w:widowControl w:val="0"/>
        <w:kinsoku/>
        <w:wordWrap/>
        <w:overflowPunct/>
        <w:topLinePunct w:val="0"/>
        <w:bidi w:val="0"/>
        <w:spacing w:line="580" w:lineRule="exact"/>
        <w:ind w:firstLine="1575" w:firstLineChars="750"/>
        <w:textAlignment w:val="auto"/>
        <w:rPr>
          <w:rFonts w:ascii="仿宋_GB2312" w:hAnsi="仿宋"/>
          <w:color w:val="FF0000"/>
          <w:szCs w:val="32"/>
        </w:rPr>
      </w:pPr>
    </w:p>
    <w:bookmarkEnd w:id="1"/>
    <w:p>
      <w:pPr>
        <w:pageBreakBefore w:val="0"/>
        <w:widowControl w:val="0"/>
        <w:kinsoku/>
        <w:wordWrap/>
        <w:overflowPunct/>
        <w:topLinePunct w:val="0"/>
        <w:bidi w:val="0"/>
        <w:spacing w:line="580" w:lineRule="exact"/>
        <w:textAlignment w:val="auto"/>
        <w:rPr>
          <w:sz w:val="30"/>
          <w:szCs w:val="30"/>
        </w:rPr>
      </w:pPr>
    </w:p>
    <w:p>
      <w:pPr>
        <w:pageBreakBefore w:val="0"/>
        <w:widowControl w:val="0"/>
        <w:kinsoku/>
        <w:wordWrap/>
        <w:overflowPunct/>
        <w:topLinePunct w:val="0"/>
        <w:bidi w:val="0"/>
        <w:spacing w:line="580" w:lineRule="exact"/>
        <w:jc w:val="center"/>
        <w:textAlignment w:val="auto"/>
        <w:rPr>
          <w:rFonts w:ascii="黑体" w:eastAsia="黑体"/>
          <w:sz w:val="30"/>
          <w:szCs w:val="30"/>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center"/>
        <w:textAlignment w:val="auto"/>
        <w:rPr>
          <w:rFonts w:ascii="黑体" w:eastAsia="黑体"/>
          <w:sz w:val="32"/>
          <w:szCs w:val="32"/>
        </w:rPr>
      </w:pPr>
    </w:p>
    <w:p>
      <w:pPr>
        <w:pageBreakBefore w:val="0"/>
        <w:widowControl w:val="0"/>
        <w:kinsoku/>
        <w:wordWrap/>
        <w:overflowPunct/>
        <w:topLinePunct w:val="0"/>
        <w:bidi w:val="0"/>
        <w:spacing w:line="580" w:lineRule="exact"/>
        <w:jc w:val="both"/>
        <w:textAlignment w:val="auto"/>
        <w:rPr>
          <w:rFonts w:hint="eastAsia" w:ascii="黑体" w:eastAsia="黑体"/>
          <w:sz w:val="32"/>
          <w:szCs w:val="32"/>
        </w:rPr>
      </w:pP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sz w:val="32"/>
          <w:szCs w:val="32"/>
        </w:rPr>
      </w:pPr>
      <w:bookmarkStart w:id="2" w:name="_Toc72430477"/>
      <w:bookmarkStart w:id="3" w:name="_Hlk72429058"/>
      <w:r>
        <w:rPr>
          <w:rFonts w:hint="eastAsia" w:ascii="黑体" w:eastAsia="黑体"/>
          <w:b w:val="0"/>
          <w:bCs w:val="0"/>
          <w:sz w:val="32"/>
          <w:szCs w:val="32"/>
        </w:rPr>
        <w:t>一、基本职能及主要工作</w:t>
      </w:r>
      <w:bookmarkEnd w:id="2"/>
    </w:p>
    <w:bookmarkEnd w:id="3"/>
    <w:p>
      <w:pPr>
        <w:pStyle w:val="4"/>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bookmarkStart w:id="4" w:name="_Toc72430478"/>
      <w:r>
        <w:rPr>
          <w:rFonts w:hint="eastAsia" w:ascii="楷体_GB2312" w:hAnsi="楷体_GB2312" w:eastAsia="楷体_GB2312" w:cs="楷体_GB2312"/>
          <w:b w:val="0"/>
          <w:bCs w:val="0"/>
          <w:sz w:val="32"/>
          <w:szCs w:val="32"/>
        </w:rPr>
        <w:t>（一）部门职能简介。</w:t>
      </w:r>
      <w:bookmarkEnd w:id="4"/>
    </w:p>
    <w:p>
      <w:pPr>
        <w:keepNext w:val="0"/>
        <w:keepLines w:val="0"/>
        <w:pageBreakBefore w:val="0"/>
        <w:widowControl w:val="0"/>
        <w:kinsoku/>
        <w:wordWrap/>
        <w:overflowPunct/>
        <w:topLinePunct w:val="0"/>
        <w:autoSpaceDN/>
        <w:bidi w:val="0"/>
        <w:snapToGrid/>
        <w:spacing w:line="572"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深入贯彻习近平新时代中国特色社会主义思想，深入贯彻党的路线方针政策和决策部署，统一检察机关思想和行动，坚持党对检察工作的绝对领导，坚决维护习近平总书记的核心地位，坚决维护党中央权威和集中统一领导。依法向荣县人民代表大会及其常务委员会提出议案。依照法律规定对由荣县人民检察院直接受理的刑事案件行使侦查权。对全县的刑事案件依法审查批准逮捕、决定逮捕、提起公诉。负责应由荣县人民检察院承办的刑事、民事、行政诉讼活动及刑事、民事、行政判决和裁定等生效法律文书执行的法律监督工作。负责应由荣县人民检察院承办的提起公益诉讼工作。负责应由荣县人民检察院承办的对看守所等执法活动的法律监督工作。受理向荣县人民检察院的控告申诉等。</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5" w:name="_Toc72430479"/>
      <w:r>
        <w:rPr>
          <w:rFonts w:hint="eastAsia" w:ascii="楷体_GB2312" w:hAnsi="楷体_GB2312" w:eastAsia="楷体_GB2312" w:cs="楷体_GB2312"/>
          <w:b w:val="0"/>
          <w:bCs w:val="0"/>
          <w:sz w:val="32"/>
          <w:szCs w:val="32"/>
        </w:rPr>
        <w:t>（二）202</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年重点工作。</w:t>
      </w:r>
      <w:bookmarkEnd w:id="5"/>
    </w:p>
    <w:p>
      <w:pPr>
        <w:keepNext w:val="0"/>
        <w:keepLines w:val="0"/>
        <w:pageBreakBefore w:val="0"/>
        <w:widowControl w:val="0"/>
        <w:kinsoku/>
        <w:wordWrap/>
        <w:overflowPunct/>
        <w:topLinePunct w:val="0"/>
        <w:autoSpaceDN/>
        <w:bidi w:val="0"/>
        <w:snapToGrid/>
        <w:spacing w:line="572" w:lineRule="exact"/>
        <w:ind w:firstLine="640" w:firstLineChars="200"/>
        <w:textAlignment w:val="auto"/>
        <w:rPr>
          <w:rFonts w:hint="eastAsia" w:ascii="Times New Roman" w:hAnsi="Times New Roman" w:eastAsia="仿宋_GB2312" w:cs="Times New Roman"/>
          <w:color w:val="000000"/>
          <w:sz w:val="32"/>
          <w:szCs w:val="32"/>
        </w:rPr>
      </w:pPr>
      <w:r>
        <w:rPr>
          <w:rFonts w:hint="eastAsia" w:ascii="仿宋_GB2312" w:hAnsi="Times New Roman" w:eastAsia="仿宋_GB2312" w:cs="Times New Roman"/>
          <w:kern w:val="2"/>
          <w:sz w:val="32"/>
          <w:szCs w:val="32"/>
          <w:lang w:val="en-US" w:eastAsia="zh-CN" w:bidi="ar-SA"/>
        </w:rPr>
        <w:t>2023</w:t>
      </w:r>
      <w:r>
        <w:rPr>
          <w:rFonts w:eastAsia="仿宋_GB2312"/>
          <w:color w:val="000000"/>
          <w:sz w:val="32"/>
          <w:szCs w:val="32"/>
        </w:rPr>
        <w:t>年，</w:t>
      </w:r>
      <w:r>
        <w:rPr>
          <w:rFonts w:hint="eastAsia" w:eastAsia="仿宋_GB2312"/>
          <w:color w:val="000000"/>
          <w:sz w:val="32"/>
          <w:szCs w:val="32"/>
        </w:rPr>
        <w:t>荣县人民</w:t>
      </w:r>
      <w:r>
        <w:rPr>
          <w:rFonts w:eastAsia="仿宋_GB2312"/>
          <w:color w:val="000000"/>
          <w:sz w:val="32"/>
          <w:szCs w:val="32"/>
        </w:rPr>
        <w:t>检察</w:t>
      </w:r>
      <w:r>
        <w:rPr>
          <w:rFonts w:hint="eastAsia" w:eastAsia="仿宋_GB2312"/>
          <w:color w:val="000000"/>
          <w:sz w:val="32"/>
          <w:szCs w:val="32"/>
        </w:rPr>
        <w:t>院</w:t>
      </w:r>
      <w:r>
        <w:rPr>
          <w:rFonts w:hint="eastAsia" w:ascii="Times New Roman" w:hAnsi="Times New Roman" w:eastAsia="仿宋_GB2312" w:cs="Times New Roman"/>
          <w:color w:val="000000"/>
          <w:sz w:val="32"/>
          <w:szCs w:val="32"/>
        </w:rPr>
        <w:t>以习近平新时代中国特色社会主义思想为指导，全面</w:t>
      </w:r>
      <w:r>
        <w:rPr>
          <w:rFonts w:hint="eastAsia" w:ascii="Times New Roman" w:hAnsi="Times New Roman" w:eastAsia="仿宋_GB2312" w:cs="Times New Roman"/>
          <w:color w:val="000000"/>
          <w:sz w:val="32"/>
          <w:szCs w:val="32"/>
          <w:lang w:val="en-US" w:eastAsia="zh-CN"/>
        </w:rPr>
        <w:t>贯彻习近平法治思想，深入学习宣传贯彻党的二十大精神，紧紧围绕县委中心工作和市检察院</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一四四一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转型</w:t>
      </w:r>
      <w:r>
        <w:rPr>
          <w:rFonts w:hint="eastAsia" w:ascii="Times New Roman" w:hAnsi="Times New Roman" w:eastAsia="仿宋_GB2312" w:cs="Times New Roman"/>
          <w:color w:val="000000"/>
          <w:sz w:val="32"/>
          <w:szCs w:val="32"/>
        </w:rPr>
        <w:t>发展</w:t>
      </w:r>
      <w:r>
        <w:rPr>
          <w:rFonts w:hint="eastAsia" w:ascii="Times New Roman" w:hAnsi="Times New Roman" w:eastAsia="仿宋_GB2312" w:cs="Times New Roman"/>
          <w:color w:val="000000"/>
          <w:sz w:val="32"/>
          <w:szCs w:val="32"/>
          <w:lang w:val="en-US" w:eastAsia="zh-CN"/>
        </w:rPr>
        <w:t>工作</w:t>
      </w:r>
      <w:r>
        <w:rPr>
          <w:rFonts w:hint="eastAsia" w:ascii="Times New Roman" w:hAnsi="Times New Roman" w:eastAsia="仿宋_GB2312" w:cs="Times New Roman"/>
          <w:color w:val="000000"/>
          <w:sz w:val="32"/>
          <w:szCs w:val="32"/>
        </w:rPr>
        <w:t>思路，</w:t>
      </w:r>
      <w:r>
        <w:rPr>
          <w:rFonts w:hint="eastAsia" w:ascii="Times New Roman" w:hAnsi="Times New Roman" w:eastAsia="仿宋_GB2312" w:cs="Times New Roman"/>
          <w:color w:val="000000"/>
          <w:sz w:val="32"/>
          <w:szCs w:val="32"/>
          <w:lang w:val="en-US" w:eastAsia="zh-CN"/>
        </w:rPr>
        <w:t>充分</w:t>
      </w:r>
      <w:r>
        <w:rPr>
          <w:rFonts w:hint="eastAsia" w:ascii="Times New Roman" w:hAnsi="Times New Roman" w:eastAsia="仿宋_GB2312" w:cs="Times New Roman"/>
          <w:color w:val="000000"/>
          <w:sz w:val="32"/>
          <w:szCs w:val="32"/>
          <w:lang w:eastAsia="zh-CN"/>
        </w:rPr>
        <w:t>履行法律监督职责，</w:t>
      </w:r>
      <w:r>
        <w:rPr>
          <w:rFonts w:hint="eastAsia" w:ascii="Times New Roman" w:hAnsi="Times New Roman" w:eastAsia="仿宋_GB2312" w:cs="Times New Roman"/>
          <w:color w:val="000000"/>
          <w:sz w:val="32"/>
          <w:szCs w:val="32"/>
          <w:lang w:val="en-US" w:eastAsia="zh-CN"/>
        </w:rPr>
        <w:t>加强法律监督工作，完善公益诉讼制度，开展品牌特色建设主题年活动，</w:t>
      </w:r>
      <w:r>
        <w:rPr>
          <w:rFonts w:hint="eastAsia" w:ascii="Times New Roman" w:hAnsi="Times New Roman" w:eastAsia="仿宋_GB2312" w:cs="Times New Roman"/>
          <w:color w:val="000000"/>
          <w:sz w:val="32"/>
          <w:szCs w:val="32"/>
        </w:rPr>
        <w:t>为荣县统筹推进疫情防控和经济社会高质量发展贡献检察力量。</w:t>
      </w:r>
      <w:bookmarkStart w:id="6" w:name="_Toc72430480"/>
    </w:p>
    <w:p>
      <w:pPr>
        <w:pStyle w:val="2"/>
        <w:rPr>
          <w:rFonts w:hint="eastAsia"/>
        </w:rPr>
      </w:pPr>
    </w:p>
    <w:p>
      <w:pPr>
        <w:keepNext w:val="0"/>
        <w:keepLines w:val="0"/>
        <w:pageBreakBefore w:val="0"/>
        <w:widowControl w:val="0"/>
        <w:kinsoku/>
        <w:wordWrap/>
        <w:overflowPunct/>
        <w:topLinePunct w:val="0"/>
        <w:autoSpaceDN/>
        <w:bidi w:val="0"/>
        <w:snapToGrid/>
        <w:spacing w:line="572" w:lineRule="exact"/>
        <w:ind w:firstLine="640" w:firstLineChars="200"/>
        <w:textAlignment w:val="auto"/>
        <w:rPr>
          <w:rFonts w:hint="eastAsia" w:ascii="黑体" w:eastAsia="黑体"/>
          <w:b w:val="0"/>
          <w:bCs w:val="0"/>
          <w:sz w:val="32"/>
          <w:szCs w:val="32"/>
        </w:rPr>
      </w:pPr>
      <w:r>
        <w:rPr>
          <w:rFonts w:hint="eastAsia" w:ascii="黑体" w:eastAsia="黑体"/>
          <w:b w:val="0"/>
          <w:bCs w:val="0"/>
          <w:sz w:val="32"/>
          <w:szCs w:val="32"/>
        </w:rPr>
        <w:t>二、部门概况</w:t>
      </w:r>
      <w:bookmarkEnd w:id="6"/>
    </w:p>
    <w:p>
      <w:pPr>
        <w:pStyle w:val="4"/>
        <w:pageBreakBefore w:val="0"/>
        <w:widowControl w:val="0"/>
        <w:kinsoku/>
        <w:wordWrap/>
        <w:overflowPunct/>
        <w:topLinePunct w:val="0"/>
        <w:bidi w:val="0"/>
        <w:adjustRightInd w:val="0"/>
        <w:snapToGrid w:val="0"/>
        <w:spacing w:line="580" w:lineRule="exact"/>
        <w:ind w:firstLine="672" w:firstLineChars="210"/>
        <w:textAlignment w:val="auto"/>
        <w:rPr>
          <w:rFonts w:hint="eastAsia"/>
          <w:sz w:val="32"/>
          <w:szCs w:val="32"/>
        </w:rPr>
      </w:pPr>
      <w:r>
        <w:rPr>
          <w:rFonts w:hint="eastAsia"/>
          <w:sz w:val="32"/>
          <w:szCs w:val="32"/>
          <w:lang w:eastAsia="zh-CN"/>
        </w:rPr>
        <w:t>荣县人民检察院部门</w:t>
      </w:r>
      <w:r>
        <w:rPr>
          <w:rFonts w:hint="eastAsia"/>
          <w:sz w:val="32"/>
          <w:szCs w:val="32"/>
        </w:rPr>
        <w:t>下属二级预算单位</w:t>
      </w:r>
      <w:r>
        <w:rPr>
          <w:rFonts w:hint="eastAsia"/>
          <w:sz w:val="32"/>
          <w:szCs w:val="32"/>
          <w:lang w:val="en-US" w:eastAsia="zh-CN"/>
        </w:rPr>
        <w:t>1</w:t>
      </w:r>
      <w:r>
        <w:rPr>
          <w:rFonts w:hint="eastAsia"/>
          <w:sz w:val="32"/>
          <w:szCs w:val="32"/>
        </w:rPr>
        <w:t>个，其中行政单位</w:t>
      </w:r>
      <w:r>
        <w:rPr>
          <w:rFonts w:hint="eastAsia"/>
          <w:sz w:val="32"/>
          <w:szCs w:val="32"/>
          <w:lang w:val="en-US" w:eastAsia="zh-CN"/>
        </w:rPr>
        <w:t>1</w:t>
      </w:r>
      <w:r>
        <w:rPr>
          <w:rFonts w:hint="eastAsia"/>
          <w:sz w:val="32"/>
          <w:szCs w:val="32"/>
        </w:rPr>
        <w:t>个，参照公务员法管理的事业单位</w:t>
      </w:r>
      <w:r>
        <w:rPr>
          <w:rFonts w:hint="eastAsia"/>
          <w:bCs/>
          <w:sz w:val="32"/>
          <w:szCs w:val="32"/>
          <w:lang w:val="en-US" w:eastAsia="zh-CN"/>
        </w:rPr>
        <w:t>0</w:t>
      </w:r>
      <w:r>
        <w:rPr>
          <w:rFonts w:hint="eastAsia"/>
          <w:sz w:val="32"/>
          <w:szCs w:val="32"/>
        </w:rPr>
        <w:t>个，其他事业单位</w:t>
      </w:r>
      <w:r>
        <w:rPr>
          <w:rFonts w:hint="eastAsia"/>
          <w:sz w:val="32"/>
          <w:szCs w:val="32"/>
          <w:lang w:val="en-US" w:eastAsia="zh-CN"/>
        </w:rPr>
        <w:t>0</w:t>
      </w:r>
      <w:r>
        <w:rPr>
          <w:rFonts w:hint="eastAsia"/>
          <w:sz w:val="32"/>
          <w:szCs w:val="32"/>
        </w:rPr>
        <w:t>个。主要包括：</w:t>
      </w:r>
      <w:r>
        <w:rPr>
          <w:rFonts w:hint="eastAsia"/>
          <w:sz w:val="32"/>
          <w:szCs w:val="32"/>
          <w:lang w:eastAsia="zh-CN"/>
        </w:rPr>
        <w:t>荣县人民检察院机关。</w:t>
      </w: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sz w:val="32"/>
          <w:szCs w:val="32"/>
        </w:rPr>
      </w:pPr>
      <w:bookmarkStart w:id="7" w:name="_Toc72430481"/>
      <w:r>
        <w:rPr>
          <w:rFonts w:hint="eastAsia" w:ascii="黑体" w:eastAsia="黑体"/>
          <w:b w:val="0"/>
          <w:bCs w:val="0"/>
          <w:sz w:val="32"/>
          <w:szCs w:val="32"/>
        </w:rPr>
        <w:t>三、收支预算情况说明</w:t>
      </w:r>
      <w:bookmarkEnd w:id="7"/>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eastAsia="zh-CN"/>
        </w:rPr>
        <w:t>荣县人民检察院部门</w:t>
      </w:r>
      <w:r>
        <w:rPr>
          <w:rFonts w:hint="eastAsia" w:ascii="仿宋_GB2312" w:eastAsia="仿宋_GB2312"/>
          <w:sz w:val="32"/>
          <w:szCs w:val="32"/>
        </w:rPr>
        <w:t>所有收入和支出均纳入部门预算管理。收入包括：一般公共预算拨款收入；支出包括：</w:t>
      </w:r>
      <w:r>
        <w:rPr>
          <w:rFonts w:hint="eastAsia" w:ascii="仿宋_GB2312" w:eastAsia="仿宋_GB2312"/>
          <w:sz w:val="32"/>
          <w:szCs w:val="32"/>
          <w:lang w:eastAsia="zh-CN"/>
        </w:rPr>
        <w:t>公共安全支出</w:t>
      </w:r>
      <w:r>
        <w:rPr>
          <w:rFonts w:hint="eastAsia" w:ascii="仿宋_GB2312" w:eastAsia="仿宋_GB2312"/>
          <w:sz w:val="32"/>
          <w:szCs w:val="32"/>
        </w:rPr>
        <w:t>、社会保障和就业支出、</w:t>
      </w:r>
      <w:r>
        <w:rPr>
          <w:rFonts w:hint="eastAsia" w:ascii="仿宋_GB2312" w:eastAsia="仿宋_GB2312"/>
          <w:sz w:val="32"/>
          <w:szCs w:val="32"/>
          <w:lang w:eastAsia="zh-CN"/>
        </w:rPr>
        <w:t>卫生健康</w:t>
      </w:r>
      <w:r>
        <w:rPr>
          <w:rFonts w:hint="eastAsia" w:ascii="仿宋_GB2312" w:eastAsia="仿宋_GB2312"/>
          <w:sz w:val="32"/>
          <w:szCs w:val="32"/>
        </w:rPr>
        <w:t>支出、住房保障支出。</w:t>
      </w:r>
      <w:r>
        <w:rPr>
          <w:rFonts w:hint="eastAsia" w:ascii="仿宋_GB2312" w:eastAsia="仿宋_GB2312"/>
          <w:sz w:val="32"/>
          <w:szCs w:val="32"/>
          <w:lang w:eastAsia="zh-CN"/>
        </w:rPr>
        <w:t>荣县人民检察院部门</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年收支总预算115</w:t>
      </w:r>
      <w:r>
        <w:rPr>
          <w:rFonts w:hint="eastAsia" w:ascii="仿宋_GB2312" w:eastAsia="仿宋_GB2312"/>
          <w:sz w:val="32"/>
          <w:szCs w:val="32"/>
          <w:lang w:val="en-US" w:eastAsia="zh-CN"/>
        </w:rPr>
        <w:t>4</w:t>
      </w:r>
      <w:r>
        <w:rPr>
          <w:rFonts w:hint="eastAsia" w:ascii="仿宋_GB2312" w:eastAsia="仿宋_GB2312"/>
          <w:sz w:val="32"/>
          <w:szCs w:val="32"/>
        </w:rPr>
        <w:t>万元，比20</w:t>
      </w:r>
      <w:r>
        <w:rPr>
          <w:rFonts w:hint="eastAsia" w:ascii="仿宋_GB2312" w:eastAsia="仿宋_GB2312"/>
          <w:sz w:val="32"/>
          <w:szCs w:val="32"/>
          <w:lang w:val="en-US" w:eastAsia="zh-CN"/>
        </w:rPr>
        <w:t>22</w:t>
      </w:r>
      <w:r>
        <w:rPr>
          <w:rFonts w:hint="eastAsia" w:ascii="仿宋_GB2312" w:eastAsia="仿宋_GB2312"/>
          <w:sz w:val="32"/>
          <w:szCs w:val="32"/>
        </w:rPr>
        <w:t>年收支预算总数增加</w:t>
      </w:r>
      <w:r>
        <w:rPr>
          <w:rFonts w:hint="eastAsia" w:ascii="仿宋_GB2312" w:eastAsia="仿宋_GB2312"/>
          <w:sz w:val="32"/>
          <w:szCs w:val="32"/>
          <w:lang w:val="en-US" w:eastAsia="zh-CN"/>
        </w:rPr>
        <w:t>376.36</w:t>
      </w:r>
      <w:r>
        <w:rPr>
          <w:rFonts w:hint="eastAsia" w:ascii="仿宋_GB2312" w:eastAsia="仿宋_GB2312"/>
          <w:sz w:val="32"/>
          <w:szCs w:val="32"/>
        </w:rPr>
        <w:t>万元，主要原因是</w:t>
      </w:r>
      <w:r>
        <w:rPr>
          <w:rFonts w:hint="eastAsia" w:ascii="仿宋_GB2312" w:eastAsia="仿宋_GB2312"/>
          <w:sz w:val="32"/>
          <w:szCs w:val="32"/>
          <w:lang w:eastAsia="zh-CN"/>
        </w:rPr>
        <w:t>：</w:t>
      </w:r>
      <w:r>
        <w:rPr>
          <w:rFonts w:hint="eastAsia" w:ascii="仿宋_GB2312" w:eastAsia="仿宋_GB2312"/>
          <w:sz w:val="32"/>
          <w:szCs w:val="32"/>
          <w:lang w:val="en-US" w:eastAsia="zh-CN"/>
        </w:rPr>
        <w:t>2022年为我院财务预算级次由县一级预算单位上划至市一级预算单位的过渡年，2022年初在编制市本级预算时暂只包含了在编人员经费支出与公用经费支出，项目经费与聘用制书记员经费等均为年中追加预算，而2023年完成上划工作后，预算为全面编制，故2023年预算较2022年预算有所增加。</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8" w:name="_Toc72430482"/>
      <w:r>
        <w:rPr>
          <w:rFonts w:hint="eastAsia" w:ascii="楷体_GB2312" w:hAnsi="楷体_GB2312" w:eastAsia="楷体_GB2312" w:cs="楷体_GB2312"/>
          <w:b w:val="0"/>
          <w:bCs w:val="0"/>
          <w:sz w:val="32"/>
          <w:szCs w:val="32"/>
        </w:rPr>
        <w:t>（一）收入预算情况</w:t>
      </w:r>
      <w:bookmarkEnd w:id="8"/>
    </w:p>
    <w:p>
      <w:pPr>
        <w:pageBreakBefore w:val="0"/>
        <w:widowControl w:val="0"/>
        <w:kinsoku/>
        <w:wordWrap/>
        <w:overflowPunct/>
        <w:topLinePunct w:val="0"/>
        <w:bidi w:val="0"/>
        <w:spacing w:line="58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荣县人民检察部门</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年收入预算115</w:t>
      </w:r>
      <w:r>
        <w:rPr>
          <w:rFonts w:hint="eastAsia" w:ascii="仿宋_GB2312" w:eastAsia="仿宋_GB2312"/>
          <w:sz w:val="32"/>
          <w:szCs w:val="32"/>
          <w:lang w:val="en-US" w:eastAsia="zh-CN"/>
        </w:rPr>
        <w:t>4</w:t>
      </w:r>
      <w:r>
        <w:rPr>
          <w:rFonts w:hint="eastAsia" w:ascii="仿宋_GB2312" w:eastAsia="仿宋_GB2312"/>
          <w:sz w:val="32"/>
          <w:szCs w:val="32"/>
        </w:rPr>
        <w:t>万元，其中：上年结转</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%；一般公共预算拨款收入115</w:t>
      </w:r>
      <w:r>
        <w:rPr>
          <w:rFonts w:hint="eastAsia" w:ascii="仿宋_GB2312" w:eastAsia="仿宋_GB2312"/>
          <w:sz w:val="32"/>
          <w:szCs w:val="32"/>
          <w:lang w:val="en-US" w:eastAsia="zh-CN"/>
        </w:rPr>
        <w:t>4</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9" w:name="_Toc72430483"/>
      <w:r>
        <w:rPr>
          <w:rFonts w:hint="eastAsia" w:ascii="楷体_GB2312" w:hAnsi="楷体_GB2312" w:eastAsia="楷体_GB2312" w:cs="楷体_GB2312"/>
          <w:b w:val="0"/>
          <w:bCs w:val="0"/>
          <w:sz w:val="32"/>
          <w:szCs w:val="32"/>
        </w:rPr>
        <w:t>（二）支出预算情况</w:t>
      </w:r>
      <w:bookmarkEnd w:id="9"/>
    </w:p>
    <w:p>
      <w:pPr>
        <w:pageBreakBefore w:val="0"/>
        <w:widowControl w:val="0"/>
        <w:kinsoku/>
        <w:wordWrap/>
        <w:overflowPunct/>
        <w:topLinePunct w:val="0"/>
        <w:bidi w:val="0"/>
        <w:spacing w:line="58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荣县人民检察部门</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年支出预算115</w:t>
      </w:r>
      <w:r>
        <w:rPr>
          <w:rFonts w:hint="eastAsia" w:ascii="仿宋_GB2312" w:eastAsia="仿宋_GB2312"/>
          <w:sz w:val="32"/>
          <w:szCs w:val="32"/>
          <w:lang w:val="en-US" w:eastAsia="zh-CN"/>
        </w:rPr>
        <w:t>4</w:t>
      </w:r>
      <w:r>
        <w:rPr>
          <w:rFonts w:hint="eastAsia" w:ascii="仿宋_GB2312" w:eastAsia="仿宋_GB2312"/>
          <w:sz w:val="32"/>
          <w:szCs w:val="32"/>
        </w:rPr>
        <w:t>万元，其中：基本支出</w:t>
      </w:r>
      <w:r>
        <w:rPr>
          <w:rFonts w:hint="eastAsia" w:ascii="仿宋_GB2312" w:eastAsia="仿宋_GB2312"/>
          <w:sz w:val="32"/>
          <w:szCs w:val="32"/>
          <w:lang w:val="en-US" w:eastAsia="zh-CN"/>
        </w:rPr>
        <w:t>966.6</w:t>
      </w:r>
      <w:r>
        <w:rPr>
          <w:rFonts w:hint="eastAsia" w:ascii="仿宋_GB2312" w:eastAsia="仿宋_GB2312"/>
          <w:sz w:val="32"/>
          <w:szCs w:val="32"/>
        </w:rPr>
        <w:t>万元，占</w:t>
      </w:r>
      <w:r>
        <w:rPr>
          <w:rFonts w:hint="eastAsia" w:ascii="仿宋_GB2312" w:eastAsia="仿宋_GB2312"/>
          <w:sz w:val="32"/>
          <w:szCs w:val="32"/>
          <w:lang w:val="en-US" w:eastAsia="zh-CN"/>
        </w:rPr>
        <w:t>83.76</w:t>
      </w:r>
      <w:r>
        <w:rPr>
          <w:rFonts w:hint="eastAsia" w:ascii="仿宋_GB2312" w:eastAsia="仿宋_GB2312"/>
          <w:sz w:val="32"/>
          <w:szCs w:val="32"/>
        </w:rPr>
        <w:t>%；项目支出</w:t>
      </w:r>
      <w:r>
        <w:rPr>
          <w:rFonts w:hint="eastAsia" w:ascii="仿宋_GB2312" w:eastAsia="仿宋_GB2312"/>
          <w:sz w:val="32"/>
          <w:szCs w:val="32"/>
          <w:lang w:val="en-US" w:eastAsia="zh-CN"/>
        </w:rPr>
        <w:t>187.4</w:t>
      </w:r>
      <w:r>
        <w:rPr>
          <w:rFonts w:hint="eastAsia" w:ascii="仿宋_GB2312" w:eastAsia="仿宋_GB2312"/>
          <w:sz w:val="32"/>
          <w:szCs w:val="32"/>
        </w:rPr>
        <w:t>万元，占</w:t>
      </w:r>
      <w:r>
        <w:rPr>
          <w:rFonts w:hint="eastAsia" w:ascii="仿宋_GB2312" w:eastAsia="仿宋_GB2312"/>
          <w:sz w:val="32"/>
          <w:szCs w:val="32"/>
          <w:lang w:val="en-US" w:eastAsia="zh-CN"/>
        </w:rPr>
        <w:t>16.24</w:t>
      </w:r>
      <w:r>
        <w:rPr>
          <w:rFonts w:hint="eastAsia" w:ascii="仿宋_GB2312" w:eastAsia="仿宋_GB2312"/>
          <w:sz w:val="32"/>
          <w:szCs w:val="32"/>
        </w:rPr>
        <w:t>%</w:t>
      </w:r>
      <w:r>
        <w:rPr>
          <w:rFonts w:hint="eastAsia" w:ascii="仿宋_GB2312" w:eastAsia="仿宋_GB2312"/>
          <w:sz w:val="32"/>
          <w:szCs w:val="32"/>
          <w:lang w:val="en-US" w:eastAsia="zh-CN"/>
        </w:rPr>
        <w:t>.</w:t>
      </w:r>
    </w:p>
    <w:p>
      <w:pPr>
        <w:pStyle w:val="3"/>
        <w:pageBreakBefore w:val="0"/>
        <w:widowControl w:val="0"/>
        <w:kinsoku/>
        <w:wordWrap/>
        <w:overflowPunct/>
        <w:topLinePunct w:val="0"/>
        <w:bidi w:val="0"/>
        <w:spacing w:line="580" w:lineRule="exact"/>
        <w:ind w:firstLine="640" w:firstLineChars="200"/>
        <w:textAlignment w:val="auto"/>
        <w:rPr>
          <w:rFonts w:hint="eastAsia" w:ascii="仿宋_GB2312" w:eastAsia="仿宋_GB2312"/>
          <w:b w:val="0"/>
          <w:bCs w:val="0"/>
          <w:color w:val="333333"/>
          <w:sz w:val="32"/>
          <w:szCs w:val="32"/>
        </w:rPr>
      </w:pPr>
      <w:bookmarkStart w:id="10" w:name="_Toc72430484"/>
      <w:r>
        <w:rPr>
          <w:rFonts w:hint="eastAsia" w:ascii="黑体" w:eastAsia="黑体"/>
          <w:b w:val="0"/>
          <w:bCs w:val="0"/>
          <w:color w:val="333333"/>
          <w:sz w:val="32"/>
          <w:szCs w:val="32"/>
        </w:rPr>
        <w:t>四、财政拨款收支预算情况说明</w:t>
      </w:r>
      <w:bookmarkEnd w:id="10"/>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荣县人民检察部门2023年财政拨款收支总预算115</w:t>
      </w:r>
      <w:r>
        <w:rPr>
          <w:rFonts w:hint="eastAsia" w:ascii="仿宋_GB2312" w:eastAsia="仿宋_GB2312"/>
          <w:sz w:val="32"/>
          <w:szCs w:val="32"/>
          <w:lang w:val="en-US" w:eastAsia="zh-CN"/>
        </w:rPr>
        <w:t>4万元，比2022年财政拨款收支总预算增加</w:t>
      </w:r>
      <w:r>
        <w:rPr>
          <w:rFonts w:hint="eastAsia" w:ascii="仿宋_GB2312" w:eastAsia="仿宋_GB2312"/>
          <w:sz w:val="32"/>
          <w:szCs w:val="32"/>
          <w:lang w:val="en-US" w:eastAsia="zh-CN"/>
        </w:rPr>
        <w:t>376.36万元，主要原因是</w:t>
      </w:r>
      <w:r>
        <w:rPr>
          <w:rFonts w:hint="eastAsia" w:ascii="仿宋_GB2312" w:eastAsia="仿宋_GB2312"/>
          <w:sz w:val="32"/>
          <w:szCs w:val="32"/>
          <w:lang w:val="en-US" w:eastAsia="zh-CN"/>
        </w:rPr>
        <w:t>2022年为我院财务预算级次由县一级预算单位上划至市一级预算单位的过渡年，2022年初在编制市本级预算时暂只包含了在编人员经费支出与公用经费支出，项目经费与聘用制书记员经费等均为年中追加预算，而2023年完成上划工作后，预算为全面编制，故2023年预算较2022年预算有所增加。</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收入包括：本年一般公共预算拨款收入</w:t>
      </w:r>
      <w:r>
        <w:rPr>
          <w:rFonts w:hint="eastAsia" w:ascii="仿宋_GB2312" w:eastAsia="仿宋_GB2312"/>
          <w:sz w:val="32"/>
          <w:szCs w:val="32"/>
          <w:lang w:val="en-US" w:eastAsia="zh-CN"/>
        </w:rPr>
        <w:t>1154万元，本年政府性基金收入</w:t>
      </w:r>
      <w:r>
        <w:rPr>
          <w:rFonts w:hint="eastAsia" w:ascii="仿宋_GB2312" w:eastAsia="仿宋_GB2312"/>
          <w:sz w:val="32"/>
          <w:szCs w:val="32"/>
          <w:lang w:val="en-US" w:eastAsia="zh-CN"/>
        </w:rPr>
        <w:t>0万元，上年结转一般公共预算拨款收入</w:t>
      </w:r>
      <w:r>
        <w:rPr>
          <w:rFonts w:hint="eastAsia" w:ascii="仿宋_GB2312" w:eastAsia="仿宋_GB2312"/>
          <w:sz w:val="32"/>
          <w:szCs w:val="32"/>
          <w:lang w:val="en-US" w:eastAsia="zh-CN"/>
        </w:rPr>
        <w:t>0万元；支出包括：公共安全支出</w:t>
      </w:r>
      <w:r>
        <w:rPr>
          <w:rFonts w:hint="eastAsia" w:ascii="仿宋_GB2312" w:eastAsia="仿宋_GB2312"/>
          <w:sz w:val="32"/>
          <w:szCs w:val="32"/>
          <w:lang w:val="en-US" w:eastAsia="zh-CN"/>
        </w:rPr>
        <w:t>923.27万元、社会保障和就业支出</w:t>
      </w:r>
      <w:r>
        <w:rPr>
          <w:rFonts w:hint="eastAsia" w:ascii="仿宋_GB2312" w:eastAsia="仿宋_GB2312"/>
          <w:sz w:val="32"/>
          <w:szCs w:val="32"/>
          <w:lang w:val="en-US" w:eastAsia="zh-CN"/>
        </w:rPr>
        <w:t>92.23万元、卫生健康支出</w:t>
      </w:r>
      <w:r>
        <w:rPr>
          <w:rFonts w:hint="eastAsia" w:ascii="仿宋_GB2312" w:eastAsia="仿宋_GB2312"/>
          <w:sz w:val="32"/>
          <w:szCs w:val="32"/>
          <w:lang w:val="en-US" w:eastAsia="zh-CN"/>
        </w:rPr>
        <w:t>64万元、住房保障支出</w:t>
      </w:r>
      <w:r>
        <w:rPr>
          <w:rFonts w:hint="eastAsia" w:ascii="仿宋_GB2312" w:eastAsia="仿宋_GB2312"/>
          <w:sz w:val="32"/>
          <w:szCs w:val="32"/>
          <w:lang w:val="en-US" w:eastAsia="zh-CN"/>
        </w:rPr>
        <w:t>74.5万元。</w:t>
      </w:r>
    </w:p>
    <w:p>
      <w:pPr>
        <w:pStyle w:val="3"/>
        <w:pageBreakBefore w:val="0"/>
        <w:widowControl w:val="0"/>
        <w:kinsoku/>
        <w:wordWrap/>
        <w:overflowPunct/>
        <w:topLinePunct w:val="0"/>
        <w:bidi w:val="0"/>
        <w:spacing w:line="580" w:lineRule="exact"/>
        <w:ind w:firstLine="640" w:firstLineChars="200"/>
        <w:textAlignment w:val="auto"/>
        <w:rPr>
          <w:rFonts w:hint="eastAsia" w:ascii="仿宋_GB2312" w:eastAsia="仿宋_GB2312"/>
          <w:b w:val="0"/>
          <w:bCs w:val="0"/>
          <w:color w:val="333333"/>
          <w:sz w:val="32"/>
          <w:szCs w:val="32"/>
        </w:rPr>
      </w:pPr>
      <w:bookmarkStart w:id="11" w:name="_Toc72430485"/>
      <w:r>
        <w:rPr>
          <w:rFonts w:hint="eastAsia" w:ascii="黑体" w:eastAsia="黑体"/>
          <w:b w:val="0"/>
          <w:bCs w:val="0"/>
          <w:color w:val="333333"/>
          <w:sz w:val="32"/>
          <w:szCs w:val="32"/>
        </w:rPr>
        <w:t>五、一般公共预算当年拨款情况说明</w:t>
      </w:r>
      <w:bookmarkEnd w:id="11"/>
      <w:r>
        <w:rPr>
          <w:rFonts w:hint="eastAsia" w:ascii="仿宋_GB2312" w:eastAsia="仿宋_GB2312"/>
          <w:b w:val="0"/>
          <w:bCs w:val="0"/>
          <w:color w:val="333333"/>
          <w:sz w:val="32"/>
          <w:szCs w:val="32"/>
        </w:rPr>
        <w:t>　　</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12" w:name="_Toc72430486"/>
      <w:r>
        <w:rPr>
          <w:rFonts w:hint="eastAsia" w:ascii="楷体_GB2312" w:hAnsi="楷体_GB2312" w:eastAsia="楷体_GB2312" w:cs="楷体_GB2312"/>
          <w:b w:val="0"/>
          <w:bCs w:val="0"/>
          <w:sz w:val="32"/>
          <w:szCs w:val="32"/>
        </w:rPr>
        <w:t>（一）一般公共预算当年拨款规模变化情况</w:t>
      </w:r>
      <w:bookmarkEnd w:id="12"/>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荣县人民检察部门2023年一般公共预算当年拨款</w:t>
      </w:r>
      <w:r>
        <w:rPr>
          <w:rFonts w:hint="eastAsia" w:ascii="仿宋_GB2312" w:eastAsia="仿宋_GB2312"/>
          <w:sz w:val="32"/>
          <w:szCs w:val="32"/>
          <w:lang w:val="en-US" w:eastAsia="zh-CN"/>
        </w:rPr>
        <w:t>1154万元，比2022年预算数增加</w:t>
      </w:r>
      <w:r>
        <w:rPr>
          <w:rFonts w:hint="eastAsia" w:ascii="仿宋_GB2312" w:eastAsia="仿宋_GB2312"/>
          <w:sz w:val="32"/>
          <w:szCs w:val="32"/>
          <w:lang w:val="en-US" w:eastAsia="zh-CN"/>
        </w:rPr>
        <w:t>376.36万元。主要是两院聘用制书记员经费、司法救助项目经费、检察司法绩效经费、办案办公项目经费、智慧检务项目经费。</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13" w:name="_Toc72430487"/>
      <w:r>
        <w:rPr>
          <w:rFonts w:hint="eastAsia" w:ascii="楷体_GB2312" w:hAnsi="楷体_GB2312" w:eastAsia="楷体_GB2312" w:cs="楷体_GB2312"/>
          <w:b w:val="0"/>
          <w:bCs w:val="0"/>
          <w:sz w:val="32"/>
          <w:szCs w:val="32"/>
        </w:rPr>
        <w:t>（二）一般公共预算当年拨款结构情况</w:t>
      </w:r>
      <w:bookmarkEnd w:id="13"/>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公共安全支出</w:t>
      </w:r>
      <w:r>
        <w:rPr>
          <w:rFonts w:hint="eastAsia" w:ascii="仿宋_GB2312" w:eastAsia="仿宋_GB2312"/>
          <w:sz w:val="32"/>
          <w:szCs w:val="32"/>
          <w:lang w:val="en-US" w:eastAsia="zh-CN"/>
        </w:rPr>
        <w:t>923.27万元，占</w:t>
      </w:r>
      <w:r>
        <w:rPr>
          <w:rFonts w:hint="eastAsia" w:ascii="仿宋_GB2312" w:eastAsia="仿宋_GB2312"/>
          <w:sz w:val="32"/>
          <w:szCs w:val="32"/>
          <w:lang w:val="en-US" w:eastAsia="zh-CN"/>
        </w:rPr>
        <w:t>80.01%；教育支出</w:t>
      </w:r>
      <w:r>
        <w:rPr>
          <w:rFonts w:hint="eastAsia" w:ascii="仿宋_GB2312" w:eastAsia="仿宋_GB2312"/>
          <w:sz w:val="32"/>
          <w:szCs w:val="32"/>
          <w:lang w:val="en-US" w:eastAsia="zh-CN"/>
        </w:rPr>
        <w:t>0万元，占</w:t>
      </w:r>
      <w:r>
        <w:rPr>
          <w:rFonts w:hint="eastAsia" w:ascii="仿宋_GB2312" w:eastAsia="仿宋_GB2312"/>
          <w:sz w:val="32"/>
          <w:szCs w:val="32"/>
          <w:lang w:val="en-US" w:eastAsia="zh-CN"/>
        </w:rPr>
        <w:t>0%；社会保障和就业支出</w:t>
      </w:r>
      <w:r>
        <w:rPr>
          <w:rFonts w:hint="eastAsia" w:ascii="仿宋_GB2312" w:eastAsia="仿宋_GB2312"/>
          <w:sz w:val="32"/>
          <w:szCs w:val="32"/>
          <w:lang w:val="en-US" w:eastAsia="zh-CN"/>
        </w:rPr>
        <w:t>92.23万元，占</w:t>
      </w:r>
      <w:r>
        <w:rPr>
          <w:rFonts w:hint="eastAsia" w:ascii="仿宋_GB2312" w:eastAsia="仿宋_GB2312"/>
          <w:sz w:val="32"/>
          <w:szCs w:val="32"/>
          <w:lang w:val="en-US" w:eastAsia="zh-CN"/>
        </w:rPr>
        <w:t>7.99%；卫生健康支出</w:t>
      </w:r>
      <w:r>
        <w:rPr>
          <w:rFonts w:hint="eastAsia" w:ascii="仿宋_GB2312" w:eastAsia="仿宋_GB2312"/>
          <w:sz w:val="32"/>
          <w:szCs w:val="32"/>
          <w:lang w:val="en-US" w:eastAsia="zh-CN"/>
        </w:rPr>
        <w:t>64万元，占</w:t>
      </w:r>
      <w:r>
        <w:rPr>
          <w:rFonts w:hint="eastAsia" w:ascii="仿宋_GB2312" w:eastAsia="仿宋_GB2312"/>
          <w:sz w:val="32"/>
          <w:szCs w:val="32"/>
          <w:lang w:val="en-US" w:eastAsia="zh-CN"/>
        </w:rPr>
        <w:t>5.55%；住房保障支出</w:t>
      </w:r>
      <w:r>
        <w:rPr>
          <w:rFonts w:hint="eastAsia" w:ascii="仿宋_GB2312" w:eastAsia="仿宋_GB2312"/>
          <w:sz w:val="32"/>
          <w:szCs w:val="32"/>
          <w:lang w:val="en-US" w:eastAsia="zh-CN"/>
        </w:rPr>
        <w:t>74.5万元，占</w:t>
      </w:r>
      <w:r>
        <w:rPr>
          <w:rFonts w:hint="eastAsia" w:ascii="仿宋_GB2312" w:eastAsia="仿宋_GB2312"/>
          <w:sz w:val="32"/>
          <w:szCs w:val="32"/>
          <w:lang w:val="en-US" w:eastAsia="zh-CN"/>
        </w:rPr>
        <w:t>6.45%.</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1.公共安全支出（类）检察（款）行政运行（项）:2023年预算数为923.27万元，主要用于：单位人员工资性支出、其他人员支出、两院聘任制书记员支出、项目支出、机关运行日常公用经费支出等。</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2.社会保障和就业（类）行政事业单位离退休（款）机关事业单位基本养老保险缴费支出（项）:2023年预算数为</w:t>
      </w:r>
      <w:r>
        <w:rPr>
          <w:rFonts w:hint="eastAsia" w:ascii="仿宋_GB2312" w:eastAsia="仿宋_GB2312"/>
          <w:sz w:val="32"/>
          <w:szCs w:val="32"/>
          <w:lang w:val="en-US" w:eastAsia="zh-CN"/>
        </w:rPr>
        <w:t>92.23万元，主要用于：行政单位养老保险支出。</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3.卫生健康（类）行政事业单位医疗（款）公务员医疗补助（项）:2023年预算数为</w:t>
      </w:r>
      <w:r>
        <w:rPr>
          <w:rFonts w:hint="eastAsia" w:ascii="仿宋_GB2312" w:eastAsia="仿宋_GB2312"/>
          <w:sz w:val="32"/>
          <w:szCs w:val="32"/>
          <w:lang w:val="en-US" w:eastAsia="zh-CN"/>
        </w:rPr>
        <w:t>11.85万元，主要用于：行政单位公务员医疗补助支出。</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4.住房保障（类）住房改革支出（款）住房公积金（项）:2023年预算数为</w:t>
      </w:r>
      <w:r>
        <w:rPr>
          <w:rFonts w:hint="eastAsia" w:ascii="仿宋_GB2312" w:eastAsia="仿宋_GB2312"/>
          <w:sz w:val="32"/>
          <w:szCs w:val="32"/>
          <w:lang w:val="en-US" w:eastAsia="zh-CN"/>
        </w:rPr>
        <w:t>74.5万元，主要用于：单位按人社部、财政部规定的基本工资和津贴补贴以及规定比例为职工缴纳的住房公积金。　</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 卫生健康（类）行政事业单位医疗（款）职工基本医疗保险（项）:2023年预算数为</w:t>
      </w:r>
      <w:r>
        <w:rPr>
          <w:rFonts w:hint="eastAsia" w:ascii="仿宋_GB2312" w:eastAsia="仿宋_GB2312"/>
          <w:sz w:val="32"/>
          <w:szCs w:val="32"/>
          <w:lang w:val="en-US" w:eastAsia="zh-CN"/>
        </w:rPr>
        <w:t>52.15万元，主要用于：行政单位人员基本医疗保险缴费支出。</w:t>
      </w: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color w:val="333333"/>
          <w:sz w:val="32"/>
          <w:szCs w:val="32"/>
        </w:rPr>
      </w:pPr>
      <w:bookmarkStart w:id="14" w:name="_Toc72430489"/>
      <w:r>
        <w:rPr>
          <w:rFonts w:hint="eastAsia" w:ascii="黑体" w:eastAsia="黑体"/>
          <w:b w:val="0"/>
          <w:bCs w:val="0"/>
          <w:color w:val="333333"/>
          <w:sz w:val="32"/>
          <w:szCs w:val="32"/>
        </w:rPr>
        <w:t>六、一般公共预算基本支出情况说明</w:t>
      </w:r>
      <w:bookmarkEnd w:id="14"/>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荣县人民检察部门2023年一般公共预算基本支出</w:t>
      </w:r>
      <w:r>
        <w:rPr>
          <w:rFonts w:hint="eastAsia" w:ascii="仿宋_GB2312" w:eastAsia="仿宋_GB2312"/>
          <w:sz w:val="32"/>
          <w:szCs w:val="32"/>
          <w:lang w:val="en-US" w:eastAsia="zh-CN"/>
        </w:rPr>
        <w:t>966.6万元，其中：</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人员经费</w:t>
      </w:r>
      <w:r>
        <w:rPr>
          <w:rFonts w:hint="eastAsia" w:ascii="仿宋_GB2312" w:eastAsia="仿宋_GB2312"/>
          <w:sz w:val="32"/>
          <w:szCs w:val="32"/>
          <w:lang w:val="en-US" w:eastAsia="zh-CN"/>
        </w:rPr>
        <w:t>822.6万元，主要包括：基本工资、津贴补贴、奖金、社会保险缴费、其他人员支出、聘用人员经费等支出。</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公用经费</w:t>
      </w:r>
      <w:r>
        <w:rPr>
          <w:rFonts w:hint="eastAsia" w:ascii="仿宋_GB2312" w:eastAsia="仿宋_GB2312"/>
          <w:sz w:val="32"/>
          <w:szCs w:val="32"/>
          <w:lang w:val="en-US" w:eastAsia="zh-CN"/>
        </w:rPr>
        <w:t>144万元，主要包括：办公费、印刷费、水费、电费、邮电费、物业管理费、租赁费、差旅费、培训费、劳务费、委托业务费、公务用车运行维护费、公务接待费、其他交通费用、基层党组织活动费、其他商品和服务等支出。</w:t>
      </w: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sz w:val="32"/>
          <w:szCs w:val="32"/>
          <w:highlight w:val="none"/>
          <w:lang w:val="en-US" w:eastAsia="zh-CN"/>
        </w:rPr>
      </w:pPr>
      <w:bookmarkStart w:id="15" w:name="_Toc72430490"/>
      <w:r>
        <w:rPr>
          <w:rFonts w:hint="eastAsia" w:ascii="黑体" w:eastAsia="黑体"/>
          <w:b w:val="0"/>
          <w:bCs w:val="0"/>
          <w:sz w:val="32"/>
          <w:szCs w:val="32"/>
          <w:highlight w:val="none"/>
        </w:rPr>
        <w:t>七、“三公”经费财政拨款预算安排情况</w:t>
      </w:r>
      <w:bookmarkEnd w:id="15"/>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荣县人民检察部门2023年“三公”经费财政拨款预算数18.61万元，较2022年预算下降2.05%，主要原因为荣县人民检察院认真贯彻落实中央“八项规定”，坚持完善公务接待制度，规范公务接待程序，严格管理、厉行节约。其中：因公出国（境）经费0万元，公务接待费3.61万元，公务用车购置及运行维护费15万元（公务用车购置费0万元，公务用车运行费15万元）。</w:t>
      </w:r>
    </w:p>
    <w:p>
      <w:pPr>
        <w:pageBreakBefore w:val="0"/>
        <w:widowControl w:val="0"/>
        <w:kinsoku/>
        <w:wordWrap/>
        <w:overflowPunct/>
        <w:topLinePunct w:val="0"/>
        <w:bidi w:val="0"/>
        <w:spacing w:line="580" w:lineRule="exact"/>
        <w:ind w:firstLine="640"/>
        <w:textAlignment w:val="auto"/>
        <w:rPr>
          <w:rFonts w:hint="eastAsia" w:ascii="仿宋_GB2312" w:eastAsia="仿宋_GB2312"/>
          <w:b w:val="0"/>
          <w:bCs w:val="0"/>
          <w:sz w:val="32"/>
          <w:szCs w:val="32"/>
          <w:highlight w:val="none"/>
        </w:rPr>
      </w:pPr>
      <w:r>
        <w:rPr>
          <w:rFonts w:hint="eastAsia" w:ascii="楷体_GB2312" w:hAnsi="楷体_GB2312" w:eastAsia="楷体_GB2312" w:cs="楷体_GB2312"/>
          <w:b w:val="0"/>
          <w:bCs w:val="0"/>
          <w:kern w:val="2"/>
          <w:sz w:val="32"/>
          <w:szCs w:val="32"/>
          <w:lang w:val="en-US" w:eastAsia="zh-CN" w:bidi="ar-SA"/>
        </w:rPr>
        <w:t>（一）因公出国（境）经费0万元。</w:t>
      </w:r>
      <w:r>
        <w:rPr>
          <w:rFonts w:hint="eastAsia" w:ascii="仿宋_GB2312" w:eastAsia="仿宋_GB2312"/>
          <w:color w:val="auto"/>
          <w:sz w:val="32"/>
          <w:szCs w:val="32"/>
          <w:highlight w:val="none"/>
        </w:rPr>
        <w:t>较20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年预算持平</w:t>
      </w:r>
      <w:r>
        <w:rPr>
          <w:rFonts w:hint="eastAsia" w:ascii="仿宋_GB2312" w:eastAsia="仿宋_GB2312"/>
          <w:color w:val="auto"/>
          <w:sz w:val="32"/>
          <w:szCs w:val="32"/>
          <w:highlight w:val="none"/>
          <w:lang w:eastAsia="zh-CN"/>
        </w:rPr>
        <w:t>，</w:t>
      </w:r>
      <w:r>
        <w:rPr>
          <w:rFonts w:hint="eastAsia" w:ascii="仿宋_GB2312" w:eastAsia="仿宋_GB2312"/>
          <w:b w:val="0"/>
          <w:bCs w:val="0"/>
          <w:sz w:val="32"/>
          <w:szCs w:val="32"/>
          <w:highlight w:val="none"/>
        </w:rPr>
        <w:t>202</w:t>
      </w: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rPr>
        <w:t>年拟安排出国（境）</w:t>
      </w:r>
      <w:r>
        <w:rPr>
          <w:rFonts w:hint="eastAsia" w:ascii="仿宋_GB2312" w:eastAsia="仿宋_GB2312"/>
          <w:b w:val="0"/>
          <w:bCs w:val="0"/>
          <w:sz w:val="32"/>
          <w:szCs w:val="32"/>
          <w:highlight w:val="none"/>
          <w:lang w:val="en-US" w:eastAsia="zh-CN"/>
        </w:rPr>
        <w:t>团组0个，0</w:t>
      </w:r>
      <w:r>
        <w:rPr>
          <w:rFonts w:hint="eastAsia" w:ascii="仿宋_GB2312" w:eastAsia="仿宋_GB2312"/>
          <w:b w:val="0"/>
          <w:bCs w:val="0"/>
          <w:sz w:val="32"/>
          <w:szCs w:val="32"/>
          <w:highlight w:val="none"/>
        </w:rPr>
        <w:t>人次。</w:t>
      </w:r>
    </w:p>
    <w:p>
      <w:pPr>
        <w:pageBreakBefore w:val="0"/>
        <w:widowControl w:val="0"/>
        <w:kinsoku/>
        <w:wordWrap/>
        <w:overflowPunct/>
        <w:topLinePunct w:val="0"/>
        <w:bidi w:val="0"/>
        <w:spacing w:line="580" w:lineRule="exact"/>
        <w:ind w:firstLine="640"/>
        <w:textAlignment w:val="auto"/>
        <w:rPr>
          <w:rFonts w:hint="eastAsia" w:ascii="仿宋_GB2312" w:eastAsia="仿宋_GB2312"/>
          <w:b/>
          <w:sz w:val="32"/>
          <w:szCs w:val="32"/>
          <w:highlight w:val="none"/>
        </w:rPr>
      </w:pPr>
      <w:r>
        <w:rPr>
          <w:rFonts w:hint="eastAsia" w:ascii="楷体_GB2312" w:hAnsi="楷体_GB2312" w:eastAsia="楷体_GB2312" w:cs="楷体_GB2312"/>
          <w:b w:val="0"/>
          <w:bCs w:val="0"/>
          <w:kern w:val="2"/>
          <w:sz w:val="32"/>
          <w:szCs w:val="32"/>
          <w:lang w:val="en-US" w:eastAsia="zh-CN" w:bidi="ar-SA"/>
        </w:rPr>
        <w:t>（二）公务接待费3.61万元。</w:t>
      </w:r>
      <w:r>
        <w:rPr>
          <w:rFonts w:hint="eastAsia" w:ascii="仿宋_GB2312" w:eastAsia="仿宋_GB2312"/>
          <w:sz w:val="32"/>
          <w:szCs w:val="32"/>
          <w:highlight w:val="none"/>
        </w:rPr>
        <w:t>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年预算</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9.75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rPr>
        <w:t>主要原因是</w:t>
      </w:r>
      <w:r>
        <w:rPr>
          <w:rFonts w:hint="eastAsia" w:ascii="仿宋_GB2312" w:eastAsia="仿宋_GB2312"/>
          <w:sz w:val="32"/>
          <w:szCs w:val="32"/>
        </w:rPr>
        <w:t>荣县人民检察院认真贯彻落实中央“八项规定”</w:t>
      </w:r>
      <w:r>
        <w:rPr>
          <w:rFonts w:hint="eastAsia" w:ascii="仿宋_GB2312" w:eastAsia="仿宋_GB2312"/>
          <w:sz w:val="32"/>
          <w:szCs w:val="32"/>
          <w:lang w:eastAsia="zh-CN"/>
        </w:rPr>
        <w:t>，</w:t>
      </w:r>
      <w:r>
        <w:rPr>
          <w:rFonts w:hint="eastAsia" w:ascii="仿宋_GB2312" w:eastAsia="仿宋_GB2312"/>
          <w:sz w:val="32"/>
          <w:szCs w:val="32"/>
        </w:rPr>
        <w:t>坚持完善</w:t>
      </w:r>
      <w:r>
        <w:rPr>
          <w:rFonts w:hint="eastAsia" w:ascii="仿宋_GB2312" w:eastAsia="仿宋_GB2312"/>
          <w:sz w:val="32"/>
          <w:szCs w:val="32"/>
          <w:lang w:eastAsia="zh-CN"/>
        </w:rPr>
        <w:t>公务</w:t>
      </w:r>
      <w:r>
        <w:rPr>
          <w:rFonts w:hint="eastAsia" w:ascii="仿宋_GB2312" w:eastAsia="仿宋_GB2312"/>
          <w:sz w:val="32"/>
          <w:szCs w:val="32"/>
        </w:rPr>
        <w:t>接待制度，规范</w:t>
      </w:r>
      <w:r>
        <w:rPr>
          <w:rFonts w:hint="eastAsia" w:ascii="仿宋_GB2312" w:eastAsia="仿宋_GB2312"/>
          <w:sz w:val="32"/>
          <w:szCs w:val="32"/>
          <w:lang w:eastAsia="zh-CN"/>
        </w:rPr>
        <w:t>公务</w:t>
      </w:r>
      <w:r>
        <w:rPr>
          <w:rFonts w:hint="eastAsia" w:ascii="仿宋_GB2312" w:eastAsia="仿宋_GB2312"/>
          <w:sz w:val="32"/>
          <w:szCs w:val="32"/>
        </w:rPr>
        <w:t>接待程序，严格管理、厉行节约</w:t>
      </w:r>
      <w:r>
        <w:rPr>
          <w:rFonts w:hint="eastAsia" w:ascii="仿宋_GB2312" w:eastAsia="仿宋_GB2312"/>
          <w:sz w:val="32"/>
          <w:szCs w:val="32"/>
          <w:highlight w:val="none"/>
        </w:rPr>
        <w:t>。</w:t>
      </w:r>
    </w:p>
    <w:p>
      <w:pPr>
        <w:pageBreakBefore w:val="0"/>
        <w:widowControl w:val="0"/>
        <w:kinsoku/>
        <w:wordWrap/>
        <w:overflowPunct/>
        <w:topLinePunct w:val="0"/>
        <w:bidi w:val="0"/>
        <w:spacing w:line="580" w:lineRule="exact"/>
        <w:ind w:firstLine="640"/>
        <w:textAlignment w:val="auto"/>
        <w:rPr>
          <w:rFonts w:hint="eastAsia" w:ascii="仿宋_GB2312" w:eastAsia="仿宋_GB2312"/>
          <w:sz w:val="32"/>
          <w:szCs w:val="32"/>
          <w:highlight w:val="none"/>
        </w:rPr>
      </w:pPr>
      <w:r>
        <w:rPr>
          <w:rFonts w:hint="eastAsia" w:ascii="仿宋_GB2312" w:eastAsia="仿宋_GB2312"/>
          <w:b w:val="0"/>
          <w:bCs w:val="0"/>
          <w:sz w:val="32"/>
          <w:szCs w:val="32"/>
          <w:highlight w:val="none"/>
        </w:rPr>
        <w:t>20</w:t>
      </w:r>
      <w:r>
        <w:rPr>
          <w:rFonts w:hint="eastAsia" w:ascii="仿宋_GB2312" w:eastAsia="仿宋_GB2312"/>
          <w:b w:val="0"/>
          <w:bCs w:val="0"/>
          <w:sz w:val="32"/>
          <w:szCs w:val="32"/>
          <w:highlight w:val="none"/>
          <w:lang w:val="en-US" w:eastAsia="zh-CN"/>
        </w:rPr>
        <w:t>23</w:t>
      </w:r>
      <w:r>
        <w:rPr>
          <w:rFonts w:hint="eastAsia" w:ascii="仿宋_GB2312" w:eastAsia="仿宋_GB2312"/>
          <w:b w:val="0"/>
          <w:bCs w:val="0"/>
          <w:sz w:val="32"/>
          <w:szCs w:val="32"/>
          <w:highlight w:val="none"/>
        </w:rPr>
        <w:t>年公务接待费计划用于</w:t>
      </w:r>
      <w:r>
        <w:rPr>
          <w:rFonts w:hint="eastAsia" w:ascii="仿宋_GB2312" w:eastAsia="仿宋_GB2312"/>
          <w:b w:val="0"/>
          <w:bCs w:val="0"/>
          <w:sz w:val="32"/>
          <w:szCs w:val="32"/>
          <w:highlight w:val="none"/>
          <w:lang w:eastAsia="zh-CN"/>
        </w:rPr>
        <w:t>检察办案所需</w:t>
      </w:r>
      <w:r>
        <w:rPr>
          <w:rFonts w:hint="eastAsia" w:ascii="仿宋_GB2312" w:eastAsia="仿宋_GB2312"/>
          <w:b w:val="0"/>
          <w:bCs w:val="0"/>
          <w:sz w:val="32"/>
          <w:szCs w:val="32"/>
          <w:highlight w:val="none"/>
        </w:rPr>
        <w:t>执行公务、考察调研、检查指导等公务活动开支</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预计接待35批次，280</w:t>
      </w:r>
      <w:r>
        <w:rPr>
          <w:rFonts w:hint="eastAsia" w:ascii="仿宋_GB2312" w:eastAsia="仿宋_GB2312"/>
          <w:b w:val="0"/>
          <w:bCs w:val="0"/>
          <w:sz w:val="32"/>
          <w:szCs w:val="32"/>
          <w:highlight w:val="none"/>
        </w:rPr>
        <w:t>人次。</w:t>
      </w:r>
    </w:p>
    <w:p>
      <w:pPr>
        <w:pageBreakBefore w:val="0"/>
        <w:widowControl w:val="0"/>
        <w:kinsoku/>
        <w:wordWrap/>
        <w:overflowPunct/>
        <w:topLinePunct w:val="0"/>
        <w:bidi w:val="0"/>
        <w:spacing w:line="580" w:lineRule="exact"/>
        <w:ind w:firstLine="640"/>
        <w:textAlignment w:val="auto"/>
        <w:rPr>
          <w:rFonts w:hint="eastAsia" w:ascii="仿宋_GB2312" w:eastAsia="仿宋_GB2312"/>
          <w:b/>
          <w:sz w:val="32"/>
          <w:szCs w:val="32"/>
          <w:highlight w:val="none"/>
        </w:rPr>
      </w:pPr>
      <w:r>
        <w:rPr>
          <w:rFonts w:hint="eastAsia" w:ascii="楷体_GB2312" w:hAnsi="楷体_GB2312" w:eastAsia="楷体_GB2312" w:cs="楷体_GB2312"/>
          <w:b w:val="0"/>
          <w:bCs w:val="0"/>
          <w:kern w:val="2"/>
          <w:sz w:val="32"/>
          <w:szCs w:val="32"/>
          <w:lang w:val="en-US" w:eastAsia="zh-CN" w:bidi="ar-SA"/>
        </w:rPr>
        <w:t>（三）公务用车购置及运行维护费15万元，</w:t>
      </w:r>
      <w:r>
        <w:rPr>
          <w:rFonts w:hint="eastAsia" w:ascii="仿宋_GB2312" w:eastAsia="仿宋_GB2312"/>
          <w:color w:val="auto"/>
          <w:sz w:val="32"/>
          <w:szCs w:val="32"/>
          <w:highlight w:val="none"/>
        </w:rPr>
        <w:t>较20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年预算持平。</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单位现有公务用车9辆，其中：轿车5辆，越野车3辆，多功能乘用车1辆。</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2023年安排公务用车购置费0万元，较2022年预算增持平，拟购置公务用车0辆。</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2023年安排公务用车运行维护费15万元，较2022年预算持平，主要用于9辆公务用车燃油、维修、保险等方面支出。主要保障检察办案工作开展。</w:t>
      </w:r>
    </w:p>
    <w:p>
      <w:pPr>
        <w:pStyle w:val="3"/>
        <w:pageBreakBefore w:val="0"/>
        <w:widowControl w:val="0"/>
        <w:kinsoku/>
        <w:wordWrap/>
        <w:overflowPunct/>
        <w:topLinePunct w:val="0"/>
        <w:bidi w:val="0"/>
        <w:spacing w:line="580" w:lineRule="exact"/>
        <w:ind w:firstLine="640" w:firstLineChars="200"/>
        <w:textAlignment w:val="auto"/>
        <w:rPr>
          <w:rFonts w:hint="eastAsia" w:ascii="仿宋_GB2312" w:eastAsia="仿宋_GB2312"/>
          <w:b w:val="0"/>
          <w:bCs w:val="0"/>
          <w:color w:val="333333"/>
          <w:sz w:val="32"/>
          <w:szCs w:val="32"/>
          <w:highlight w:val="none"/>
        </w:rPr>
      </w:pPr>
      <w:bookmarkStart w:id="16" w:name="_Toc72430491"/>
      <w:r>
        <w:rPr>
          <w:rFonts w:hint="eastAsia" w:ascii="黑体" w:eastAsia="黑体"/>
          <w:b w:val="0"/>
          <w:bCs w:val="0"/>
          <w:color w:val="333333"/>
          <w:sz w:val="32"/>
          <w:szCs w:val="32"/>
          <w:highlight w:val="none"/>
        </w:rPr>
        <w:t>八、政府性基金预算支出情况说明</w:t>
      </w:r>
      <w:bookmarkEnd w:id="16"/>
      <w:r>
        <w:rPr>
          <w:rFonts w:hint="eastAsia" w:ascii="仿宋_GB2312" w:eastAsia="仿宋_GB2312"/>
          <w:b w:val="0"/>
          <w:bCs w:val="0"/>
          <w:color w:val="333333"/>
          <w:sz w:val="32"/>
          <w:szCs w:val="32"/>
          <w:highlight w:val="none"/>
        </w:rPr>
        <w:t>　</w:t>
      </w:r>
    </w:p>
    <w:p>
      <w:pPr>
        <w:pageBreakBefore w:val="0"/>
        <w:widowControl w:val="0"/>
        <w:kinsoku/>
        <w:wordWrap/>
        <w:overflowPunct/>
        <w:topLinePunct w:val="0"/>
        <w:bidi w:val="0"/>
        <w:spacing w:line="580" w:lineRule="exact"/>
        <w:ind w:firstLine="64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荣县人民检察部门2023年使用政府性基金预算拨款安排0万元。</w:t>
      </w: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color w:val="333333"/>
          <w:sz w:val="32"/>
          <w:szCs w:val="32"/>
        </w:rPr>
      </w:pPr>
      <w:bookmarkStart w:id="17" w:name="_Toc72430492"/>
      <w:r>
        <w:rPr>
          <w:rFonts w:hint="eastAsia" w:ascii="黑体" w:eastAsia="黑体"/>
          <w:b w:val="0"/>
          <w:bCs w:val="0"/>
          <w:color w:val="333333"/>
          <w:sz w:val="32"/>
          <w:szCs w:val="32"/>
        </w:rPr>
        <w:t>九、国有资本经营预算支出情况说明</w:t>
      </w:r>
      <w:bookmarkEnd w:id="17"/>
    </w:p>
    <w:p>
      <w:pPr>
        <w:pageBreakBefore w:val="0"/>
        <w:widowControl w:val="0"/>
        <w:kinsoku/>
        <w:wordWrap/>
        <w:overflowPunct/>
        <w:topLinePunct w:val="0"/>
        <w:bidi w:val="0"/>
        <w:spacing w:line="580" w:lineRule="exact"/>
        <w:textAlignment w:val="auto"/>
        <w:rPr>
          <w:rFonts w:hint="eastAsia" w:ascii="仿宋_GB2312" w:eastAsia="仿宋_GB2312"/>
          <w:sz w:val="32"/>
          <w:szCs w:val="32"/>
          <w:lang w:val="en-US" w:eastAsia="zh-CN"/>
        </w:rPr>
      </w:pPr>
      <w:r>
        <w:rPr>
          <w:rFonts w:hint="eastAsia" w:ascii="仿宋_GB2312" w:eastAsia="仿宋_GB2312"/>
          <w:color w:val="333333"/>
          <w:sz w:val="32"/>
          <w:szCs w:val="32"/>
        </w:rPr>
        <w:t>　　</w:t>
      </w:r>
      <w:r>
        <w:rPr>
          <w:rFonts w:hint="eastAsia" w:ascii="仿宋_GB2312" w:eastAsia="仿宋_GB2312"/>
          <w:sz w:val="32"/>
          <w:szCs w:val="32"/>
          <w:lang w:val="en-US" w:eastAsia="zh-CN"/>
        </w:rPr>
        <w:t>荣县人民检察部门2023年没有使用国有资本经营预算拨款安排的支出。</w:t>
      </w: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sz w:val="32"/>
          <w:szCs w:val="32"/>
        </w:rPr>
      </w:pPr>
      <w:bookmarkStart w:id="18" w:name="_Toc72430493"/>
      <w:r>
        <w:rPr>
          <w:rFonts w:hint="eastAsia" w:ascii="黑体" w:eastAsia="黑体"/>
          <w:b w:val="0"/>
          <w:bCs w:val="0"/>
          <w:sz w:val="32"/>
          <w:szCs w:val="32"/>
        </w:rPr>
        <w:t>十、其他重要事项的情况说明</w:t>
      </w:r>
      <w:bookmarkEnd w:id="18"/>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lang w:eastAsia="zh-CN"/>
        </w:rPr>
      </w:pPr>
      <w:bookmarkStart w:id="19" w:name="_Toc72430494"/>
      <w:r>
        <w:rPr>
          <w:rFonts w:hint="eastAsia" w:ascii="楷体_GB2312" w:hAnsi="楷体_GB2312" w:eastAsia="楷体_GB2312" w:cs="楷体_GB2312"/>
          <w:b w:val="0"/>
          <w:bCs w:val="0"/>
          <w:sz w:val="32"/>
          <w:szCs w:val="32"/>
        </w:rPr>
        <w:t>（一）机关运行经费情况</w:t>
      </w:r>
      <w:bookmarkEnd w:id="19"/>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w:t>
      </w:r>
      <w:r>
        <w:rPr>
          <w:rFonts w:hint="eastAsia" w:ascii="仿宋_GB2312" w:eastAsia="仿宋_GB2312"/>
          <w:sz w:val="32"/>
          <w:szCs w:val="32"/>
          <w:lang w:val="en-US" w:eastAsia="zh-CN"/>
        </w:rPr>
        <w:t>3年，荣县人民检察部门履行一般行政管理职能、维持机关日常运转而开支的机关运行经费财政拨款预算为</w:t>
      </w:r>
      <w:r>
        <w:rPr>
          <w:rFonts w:hint="eastAsia" w:ascii="仿宋_GB2312" w:eastAsia="仿宋_GB2312"/>
          <w:sz w:val="32"/>
          <w:szCs w:val="32"/>
          <w:lang w:val="en-US" w:eastAsia="zh-CN"/>
        </w:rPr>
        <w:t>144万元，比20</w:t>
      </w:r>
      <w:r>
        <w:rPr>
          <w:rFonts w:hint="eastAsia" w:ascii="仿宋_GB2312" w:eastAsia="仿宋_GB2312"/>
          <w:sz w:val="32"/>
          <w:szCs w:val="32"/>
          <w:lang w:val="en-US" w:eastAsia="zh-CN"/>
        </w:rPr>
        <w:t>22年预算减少</w:t>
      </w:r>
      <w:r>
        <w:rPr>
          <w:rFonts w:hint="eastAsia" w:ascii="仿宋_GB2312" w:eastAsia="仿宋_GB2312"/>
          <w:sz w:val="32"/>
          <w:szCs w:val="32"/>
          <w:lang w:val="en-US" w:eastAsia="zh-CN"/>
        </w:rPr>
        <w:t>6万元，下降</w:t>
      </w:r>
      <w:r>
        <w:rPr>
          <w:rFonts w:hint="eastAsia" w:ascii="仿宋_GB2312" w:eastAsia="仿宋_GB2312"/>
          <w:sz w:val="32"/>
          <w:szCs w:val="32"/>
          <w:lang w:val="en-US" w:eastAsia="zh-CN"/>
        </w:rPr>
        <w:t>4%，主要原因是我院2023年在编人数较2022年减少，故机关运行经费财政拨款预算随之减少。</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20" w:name="_Toc72430495"/>
      <w:r>
        <w:rPr>
          <w:rFonts w:hint="eastAsia" w:ascii="楷体_GB2312" w:hAnsi="楷体_GB2312" w:eastAsia="楷体_GB2312" w:cs="楷体_GB2312"/>
          <w:b w:val="0"/>
          <w:bCs w:val="0"/>
          <w:sz w:val="32"/>
          <w:szCs w:val="32"/>
        </w:rPr>
        <w:t>（二）政府采购情况</w:t>
      </w:r>
      <w:bookmarkEnd w:id="20"/>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w:t>
      </w:r>
      <w:r>
        <w:rPr>
          <w:rFonts w:hint="eastAsia" w:ascii="仿宋_GB2312" w:eastAsia="仿宋_GB2312"/>
          <w:sz w:val="32"/>
          <w:szCs w:val="32"/>
          <w:lang w:val="en-US" w:eastAsia="zh-CN"/>
        </w:rPr>
        <w:t>3年，荣县人民检察部门安排政府采购预算</w:t>
      </w:r>
      <w:r>
        <w:rPr>
          <w:rFonts w:hint="eastAsia" w:ascii="仿宋_GB2312" w:eastAsia="仿宋_GB2312"/>
          <w:sz w:val="32"/>
          <w:szCs w:val="32"/>
          <w:lang w:val="en-US" w:eastAsia="zh-CN"/>
        </w:rPr>
        <w:t>14.6万元，</w:t>
      </w:r>
      <w:r>
        <w:rPr>
          <w:rFonts w:hint="eastAsia" w:ascii="仿宋_GB2312" w:eastAsia="仿宋_GB2312"/>
          <w:sz w:val="32"/>
          <w:szCs w:val="32"/>
          <w:lang w:val="en-US" w:eastAsia="zh-CN"/>
        </w:rPr>
        <w:t>较2022年增长100%，增长原因在于：</w:t>
      </w:r>
      <w:r>
        <w:rPr>
          <w:rFonts w:hint="eastAsia" w:ascii="仿宋_GB2312" w:eastAsia="仿宋_GB2312"/>
          <w:sz w:val="32"/>
          <w:szCs w:val="32"/>
          <w:lang w:val="en-US" w:eastAsia="zh-CN"/>
        </w:rPr>
        <w:t>2022年初并未安排政府采购预算，当年所需政府采购为年中追加预算和预算调剂资金。2023年政府采购预算，主要用于采购公车运行维护所需燃油、保险、维修，共计</w:t>
      </w:r>
      <w:r>
        <w:rPr>
          <w:rFonts w:hint="eastAsia" w:ascii="仿宋_GB2312" w:eastAsia="仿宋_GB2312"/>
          <w:sz w:val="32"/>
          <w:szCs w:val="32"/>
          <w:lang w:val="en-US" w:eastAsia="zh-CN"/>
        </w:rPr>
        <w:t>14.6万元。</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21" w:name="_Toc72430496"/>
      <w:r>
        <w:rPr>
          <w:rFonts w:hint="eastAsia" w:ascii="楷体_GB2312" w:hAnsi="楷体_GB2312" w:eastAsia="楷体_GB2312" w:cs="楷体_GB2312"/>
          <w:b w:val="0"/>
          <w:bCs w:val="0"/>
          <w:sz w:val="32"/>
          <w:szCs w:val="32"/>
        </w:rPr>
        <w:t>（三）国有资产占有使用情况</w:t>
      </w:r>
      <w:bookmarkEnd w:id="21"/>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截至20</w:t>
      </w:r>
      <w:r>
        <w:rPr>
          <w:rFonts w:hint="eastAsia" w:ascii="仿宋_GB2312" w:eastAsia="仿宋_GB2312"/>
          <w:sz w:val="32"/>
          <w:szCs w:val="32"/>
          <w:lang w:val="en-US" w:eastAsia="zh-CN"/>
        </w:rPr>
        <w:t>23年底，荣县人民检察部门所属各预算单位共有车辆</w:t>
      </w:r>
      <w:r>
        <w:rPr>
          <w:rFonts w:hint="eastAsia" w:ascii="仿宋_GB2312" w:eastAsia="仿宋_GB2312"/>
          <w:sz w:val="32"/>
          <w:szCs w:val="32"/>
          <w:lang w:val="en-US" w:eastAsia="zh-CN"/>
        </w:rPr>
        <w:t>9辆，其中，一般公务用车</w:t>
      </w:r>
      <w:r>
        <w:rPr>
          <w:rFonts w:hint="eastAsia" w:ascii="仿宋_GB2312" w:eastAsia="仿宋_GB2312"/>
          <w:sz w:val="32"/>
          <w:szCs w:val="32"/>
          <w:lang w:val="en-US" w:eastAsia="zh-CN"/>
        </w:rPr>
        <w:t>0辆、执法执勤用车</w:t>
      </w:r>
      <w:r>
        <w:rPr>
          <w:rFonts w:hint="eastAsia" w:ascii="仿宋_GB2312" w:eastAsia="仿宋_GB2312"/>
          <w:sz w:val="32"/>
          <w:szCs w:val="32"/>
          <w:lang w:val="en-US" w:eastAsia="zh-CN"/>
        </w:rPr>
        <w:t>9辆。</w:t>
      </w:r>
      <w:r>
        <w:rPr>
          <w:rFonts w:hint="eastAsia" w:ascii="仿宋_GB2312" w:eastAsia="仿宋_GB2312"/>
          <w:sz w:val="32"/>
          <w:szCs w:val="32"/>
          <w:lang w:val="en-US" w:eastAsia="zh-CN"/>
        </w:rPr>
        <w:t>部门价值100万元以上大型设备</w:t>
      </w:r>
      <w:r>
        <w:rPr>
          <w:rFonts w:hint="eastAsia" w:ascii="仿宋_GB2312" w:eastAsia="仿宋_GB2312"/>
          <w:sz w:val="32"/>
          <w:szCs w:val="32"/>
          <w:lang w:val="en-US" w:eastAsia="zh-CN"/>
        </w:rPr>
        <w:t>0台（套）。</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w:t>
      </w:r>
      <w:r>
        <w:rPr>
          <w:rFonts w:hint="eastAsia" w:ascii="仿宋_GB2312" w:eastAsia="仿宋_GB2312"/>
          <w:sz w:val="32"/>
          <w:szCs w:val="32"/>
          <w:lang w:val="en-US" w:eastAsia="zh-CN"/>
        </w:rPr>
        <w:t>3年部门预算安排购置一般公务用车</w:t>
      </w:r>
      <w:r>
        <w:rPr>
          <w:rFonts w:hint="eastAsia" w:ascii="仿宋_GB2312" w:eastAsia="仿宋_GB2312"/>
          <w:sz w:val="32"/>
          <w:szCs w:val="32"/>
          <w:lang w:val="en-US" w:eastAsia="zh-CN"/>
        </w:rPr>
        <w:t>0辆、执法执勤用车</w:t>
      </w:r>
      <w:r>
        <w:rPr>
          <w:rFonts w:hint="eastAsia" w:ascii="仿宋_GB2312" w:eastAsia="仿宋_GB2312"/>
          <w:sz w:val="32"/>
          <w:szCs w:val="32"/>
          <w:lang w:val="en-US" w:eastAsia="zh-CN"/>
        </w:rPr>
        <w:t>0辆，单位价值100万元以上大型设备</w:t>
      </w:r>
      <w:r>
        <w:rPr>
          <w:rFonts w:hint="eastAsia" w:ascii="仿宋_GB2312" w:eastAsia="仿宋_GB2312"/>
          <w:sz w:val="32"/>
          <w:szCs w:val="32"/>
          <w:lang w:val="en-US" w:eastAsia="zh-CN"/>
        </w:rPr>
        <w:t>0台（套）。</w:t>
      </w:r>
    </w:p>
    <w:p>
      <w:pPr>
        <w:pStyle w:val="4"/>
        <w:pageBreakBefore w:val="0"/>
        <w:widowControl w:val="0"/>
        <w:kinsoku/>
        <w:wordWrap/>
        <w:overflowPunct/>
        <w:topLinePunct w:val="0"/>
        <w:bidi w:val="0"/>
        <w:adjustRightInd w:val="0"/>
        <w:snapToGrid w:val="0"/>
        <w:spacing w:line="580" w:lineRule="exact"/>
        <w:ind w:firstLine="627" w:firstLineChars="196"/>
        <w:textAlignment w:val="auto"/>
        <w:outlineLvl w:val="1"/>
        <w:rPr>
          <w:rFonts w:hint="eastAsia" w:ascii="楷体_GB2312" w:hAnsi="楷体_GB2312" w:eastAsia="楷体_GB2312" w:cs="楷体_GB2312"/>
          <w:b w:val="0"/>
          <w:bCs w:val="0"/>
          <w:sz w:val="32"/>
          <w:szCs w:val="32"/>
        </w:rPr>
      </w:pPr>
      <w:bookmarkStart w:id="22" w:name="_Toc72430497"/>
      <w:r>
        <w:rPr>
          <w:rFonts w:hint="eastAsia" w:ascii="楷体_GB2312" w:hAnsi="楷体_GB2312" w:eastAsia="楷体_GB2312" w:cs="楷体_GB2312"/>
          <w:b w:val="0"/>
          <w:bCs w:val="0"/>
          <w:sz w:val="32"/>
          <w:szCs w:val="32"/>
        </w:rPr>
        <w:t>（四）绩效目标设置情况</w:t>
      </w:r>
      <w:bookmarkEnd w:id="22"/>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绩效目标是预算编制的前提和基础，按照“费随事定”的原则，20</w:t>
      </w:r>
      <w:r>
        <w:rPr>
          <w:rFonts w:hint="eastAsia" w:ascii="仿宋_GB2312" w:eastAsia="仿宋_GB2312"/>
          <w:sz w:val="32"/>
          <w:szCs w:val="32"/>
          <w:lang w:val="en-US" w:eastAsia="zh-CN"/>
        </w:rPr>
        <w:t>23年荣县人民检察部门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重点项目预算绩效目标情况是：荣县人民检察院-司法绩效项目，绩效目标是用于荣县人民检察院员额检察官、司法辅助人员、司法行政人员检察绩效考核奖金发放，以更好的激发检察干警干事创业热情，为检察事业更优发展注入内生动力；荣县人民检察院--智慧检务（管理）项目，绩效目标是按照上级检察院要求，进一步强化检察业务，完成电子认证基础设施、密码设备升级换装、隐写溯源系统建设、大数据法律监</w:t>
      </w:r>
      <w:bookmarkStart w:id="24" w:name="_GoBack"/>
      <w:r>
        <w:rPr>
          <w:rFonts w:hint="eastAsia" w:ascii="仿宋_GB2312" w:eastAsia="仿宋_GB2312"/>
          <w:sz w:val="32"/>
          <w:szCs w:val="32"/>
          <w:lang w:val="en-US" w:eastAsia="zh-CN"/>
        </w:rPr>
        <w:t>督模型</w:t>
      </w:r>
      <w:bookmarkEnd w:id="24"/>
      <w:r>
        <w:rPr>
          <w:rFonts w:hint="eastAsia" w:ascii="仿宋_GB2312" w:eastAsia="仿宋_GB2312"/>
          <w:sz w:val="32"/>
          <w:szCs w:val="32"/>
          <w:lang w:val="en-US" w:eastAsia="zh-CN"/>
        </w:rPr>
        <w:t>应用等智慧检务工作。</w:t>
      </w:r>
    </w:p>
    <w:p>
      <w:pPr>
        <w:pStyle w:val="3"/>
        <w:pageBreakBefore w:val="0"/>
        <w:widowControl w:val="0"/>
        <w:kinsoku/>
        <w:wordWrap/>
        <w:overflowPunct/>
        <w:topLinePunct w:val="0"/>
        <w:bidi w:val="0"/>
        <w:spacing w:line="580" w:lineRule="exact"/>
        <w:ind w:firstLine="640" w:firstLineChars="200"/>
        <w:textAlignment w:val="auto"/>
        <w:rPr>
          <w:rFonts w:hint="eastAsia" w:ascii="黑体" w:eastAsia="黑体"/>
          <w:b w:val="0"/>
          <w:bCs w:val="0"/>
          <w:color w:val="000000"/>
          <w:sz w:val="32"/>
          <w:szCs w:val="32"/>
        </w:rPr>
      </w:pPr>
      <w:bookmarkStart w:id="23" w:name="_Toc72430498"/>
      <w:r>
        <w:rPr>
          <w:rFonts w:hint="eastAsia" w:ascii="黑体" w:eastAsia="黑体"/>
          <w:b w:val="0"/>
          <w:bCs w:val="0"/>
          <w:color w:val="000000"/>
          <w:sz w:val="32"/>
          <w:szCs w:val="32"/>
        </w:rPr>
        <w:t>十一、名词解释</w:t>
      </w:r>
      <w:bookmarkEnd w:id="23"/>
    </w:p>
    <w:p>
      <w:pPr>
        <w:pageBreakBefore w:val="0"/>
        <w:widowControl w:val="0"/>
        <w:kinsoku/>
        <w:wordWrap/>
        <w:overflowPunct/>
        <w:topLinePunct w:val="0"/>
        <w:bidi w:val="0"/>
        <w:spacing w:line="580" w:lineRule="exact"/>
        <w:ind w:firstLine="729" w:firstLineChars="228"/>
        <w:textAlignment w:val="auto"/>
        <w:rPr>
          <w:rFonts w:hint="eastAsia" w:ascii="仿宋_GB2312" w:eastAsia="仿宋_GB2312"/>
          <w:color w:val="000000"/>
          <w:sz w:val="32"/>
          <w:szCs w:val="32"/>
        </w:rPr>
      </w:pPr>
      <w:r>
        <w:rPr>
          <w:rFonts w:hint="eastAsia" w:ascii="仿宋_GB2312" w:eastAsia="仿宋_GB2312"/>
          <w:color w:val="000000"/>
          <w:sz w:val="32"/>
          <w:szCs w:val="32"/>
        </w:rPr>
        <w:t>1.一般公共预算拨款收入：指市级财政当年拨付的资金。</w:t>
      </w:r>
    </w:p>
    <w:p>
      <w:pPr>
        <w:pageBreakBefore w:val="0"/>
        <w:widowControl w:val="0"/>
        <w:kinsoku/>
        <w:wordWrap/>
        <w:overflowPunct/>
        <w:topLinePunct w:val="0"/>
        <w:bidi w:val="0"/>
        <w:spacing w:line="580" w:lineRule="exact"/>
        <w:ind w:firstLine="729" w:firstLineChars="228"/>
        <w:textAlignment w:val="auto"/>
        <w:rPr>
          <w:rFonts w:hint="eastAsia" w:ascii="仿宋_GB2312" w:eastAsia="仿宋_GB2312"/>
          <w:color w:val="000000"/>
          <w:sz w:val="32"/>
          <w:szCs w:val="32"/>
        </w:rPr>
      </w:pPr>
      <w:r>
        <w:rPr>
          <w:rFonts w:hint="eastAsia" w:ascii="仿宋_GB2312" w:eastAsia="仿宋_GB2312"/>
          <w:color w:val="000000"/>
          <w:sz w:val="32"/>
          <w:szCs w:val="32"/>
        </w:rPr>
        <w:t>2.事业收入：指事业单位开展专业业务活动及辅助活动所取得的收入。</w:t>
      </w:r>
    </w:p>
    <w:p>
      <w:pPr>
        <w:pageBreakBefore w:val="0"/>
        <w:widowControl w:val="0"/>
        <w:kinsoku/>
        <w:wordWrap/>
        <w:overflowPunct/>
        <w:topLinePunct w:val="0"/>
        <w:bidi w:val="0"/>
        <w:spacing w:line="58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rPr>
        <w:t>3.上年结转：指以前年度尚未完成，结转到本年仍按原规定用途继续使用的资金。</w:t>
      </w:r>
    </w:p>
    <w:p>
      <w:pPr>
        <w:pageBreakBefore w:val="0"/>
        <w:widowControl w:val="0"/>
        <w:kinsoku/>
        <w:wordWrap/>
        <w:overflowPunct/>
        <w:topLinePunct w:val="0"/>
        <w:bidi w:val="0"/>
        <w:spacing w:line="580" w:lineRule="exact"/>
        <w:ind w:firstLine="645"/>
        <w:textAlignment w:val="auto"/>
        <w:rPr>
          <w:rFonts w:hint="eastAsia" w:ascii="仿宋_GB2312" w:eastAsia="仿宋_GB2312"/>
          <w:sz w:val="32"/>
          <w:szCs w:val="32"/>
        </w:rPr>
      </w:pPr>
      <w:r>
        <w:rPr>
          <w:rFonts w:hint="eastAsia" w:ascii="仿宋_GB2312" w:eastAsia="仿宋_GB2312"/>
          <w:color w:val="000000"/>
          <w:sz w:val="32"/>
          <w:szCs w:val="32"/>
        </w:rPr>
        <w:t>4.</w:t>
      </w:r>
      <w:r>
        <w:rPr>
          <w:rFonts w:hint="eastAsia" w:ascii="仿宋_GB2312" w:eastAsia="仿宋_GB2312"/>
          <w:sz w:val="32"/>
          <w:szCs w:val="32"/>
        </w:rPr>
        <w:t xml:space="preserve"> </w:t>
      </w:r>
      <w:r>
        <w:rPr>
          <w:rFonts w:hint="eastAsia" w:ascii="仿宋_GB2312" w:eastAsia="仿宋_GB2312"/>
          <w:color w:val="333333"/>
          <w:sz w:val="32"/>
          <w:szCs w:val="32"/>
          <w:lang w:eastAsia="zh-CN"/>
        </w:rPr>
        <w:t>公共安全</w:t>
      </w:r>
      <w:r>
        <w:rPr>
          <w:rFonts w:hint="eastAsia" w:ascii="仿宋_GB2312" w:eastAsia="仿宋_GB2312"/>
          <w:color w:val="333333"/>
          <w:sz w:val="32"/>
          <w:szCs w:val="32"/>
        </w:rPr>
        <w:t>（类）</w:t>
      </w:r>
      <w:r>
        <w:rPr>
          <w:rFonts w:hint="eastAsia" w:ascii="仿宋_GB2312" w:eastAsia="仿宋_GB2312"/>
          <w:sz w:val="32"/>
          <w:szCs w:val="32"/>
          <w:lang w:eastAsia="zh-CN"/>
        </w:rPr>
        <w:t>检察</w:t>
      </w:r>
      <w:r>
        <w:rPr>
          <w:rFonts w:hint="eastAsia" w:ascii="仿宋_GB2312" w:eastAsia="仿宋_GB2312"/>
          <w:color w:val="333333"/>
          <w:sz w:val="32"/>
          <w:szCs w:val="32"/>
        </w:rPr>
        <w:t>（款）</w:t>
      </w:r>
      <w:r>
        <w:rPr>
          <w:rFonts w:hint="eastAsia" w:ascii="仿宋_GB2312" w:eastAsia="仿宋_GB2312"/>
          <w:sz w:val="32"/>
          <w:szCs w:val="32"/>
        </w:rPr>
        <w:t>行政运行</w:t>
      </w:r>
      <w:r>
        <w:rPr>
          <w:rFonts w:hint="eastAsia" w:ascii="仿宋_GB2312" w:eastAsia="仿宋_GB2312"/>
          <w:color w:val="333333"/>
          <w:sz w:val="32"/>
          <w:szCs w:val="32"/>
        </w:rPr>
        <w:t>（项）：指</w:t>
      </w:r>
      <w:r>
        <w:rPr>
          <w:rFonts w:hint="eastAsia" w:ascii="仿宋_GB2312" w:eastAsia="仿宋_GB2312"/>
          <w:color w:val="000000"/>
          <w:sz w:val="32"/>
          <w:szCs w:val="32"/>
          <w:lang w:eastAsia="zh-CN"/>
        </w:rPr>
        <w:t>荣县人民检察院部门</w:t>
      </w:r>
      <w:r>
        <w:rPr>
          <w:rFonts w:hint="eastAsia" w:ascii="仿宋_GB2312" w:eastAsia="仿宋_GB2312"/>
          <w:color w:val="000000"/>
          <w:sz w:val="32"/>
          <w:szCs w:val="32"/>
        </w:rPr>
        <w:t>行政单位用于保障机构正常运行、开展日常工作的基本支出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5.</w:t>
      </w:r>
      <w:r>
        <w:rPr>
          <w:rFonts w:hint="eastAsia" w:ascii="仿宋_GB2312" w:eastAsia="仿宋_GB2312"/>
          <w:color w:val="333333"/>
          <w:sz w:val="32"/>
          <w:szCs w:val="32"/>
        </w:rPr>
        <w:t xml:space="preserve"> 社会保障和就业（类）</w:t>
      </w:r>
      <w:r>
        <w:rPr>
          <w:rFonts w:hint="eastAsia" w:ascii="仿宋_GB2312" w:eastAsia="仿宋_GB2312"/>
          <w:sz w:val="32"/>
          <w:szCs w:val="32"/>
        </w:rPr>
        <w:t>行政事业单位离退休</w:t>
      </w:r>
      <w:r>
        <w:rPr>
          <w:rFonts w:hint="eastAsia" w:ascii="仿宋_GB2312" w:eastAsia="仿宋_GB2312"/>
          <w:color w:val="333333"/>
          <w:sz w:val="32"/>
          <w:szCs w:val="32"/>
        </w:rPr>
        <w:t>（款）</w:t>
      </w:r>
      <w:r>
        <w:rPr>
          <w:rFonts w:hint="eastAsia" w:ascii="仿宋_GB2312" w:eastAsia="仿宋_GB2312"/>
          <w:sz w:val="32"/>
          <w:szCs w:val="32"/>
        </w:rPr>
        <w:t>机关事业单位基本养老保险缴费支出</w:t>
      </w:r>
      <w:r>
        <w:rPr>
          <w:rFonts w:hint="eastAsia" w:ascii="仿宋_GB2312" w:eastAsia="仿宋_GB2312"/>
          <w:color w:val="333333"/>
          <w:sz w:val="32"/>
          <w:szCs w:val="32"/>
        </w:rPr>
        <w:t>（项）</w:t>
      </w:r>
      <w:r>
        <w:rPr>
          <w:rFonts w:hint="eastAsia" w:ascii="仿宋_GB2312" w:eastAsia="仿宋_GB2312"/>
          <w:color w:val="000000"/>
          <w:sz w:val="32"/>
          <w:szCs w:val="32"/>
        </w:rPr>
        <w:t>：</w:t>
      </w:r>
      <w:r>
        <w:rPr>
          <w:rFonts w:hint="eastAsia" w:ascii="仿宋_GB2312" w:eastAsia="仿宋_GB2312"/>
          <w:color w:val="000000"/>
          <w:sz w:val="32"/>
          <w:szCs w:val="32"/>
          <w:lang w:eastAsia="zh-CN"/>
        </w:rPr>
        <w:t>指</w:t>
      </w:r>
      <w:r>
        <w:rPr>
          <w:rFonts w:hint="eastAsia" w:ascii="仿宋_GB2312" w:eastAsia="仿宋_GB2312"/>
          <w:sz w:val="32"/>
          <w:szCs w:val="32"/>
        </w:rPr>
        <w:t>荣县人民检察院</w:t>
      </w:r>
      <w:r>
        <w:rPr>
          <w:rFonts w:hint="eastAsia" w:ascii="仿宋_GB2312" w:eastAsia="仿宋_GB2312"/>
          <w:sz w:val="32"/>
          <w:szCs w:val="32"/>
          <w:lang w:eastAsia="zh-CN"/>
        </w:rPr>
        <w:t>部门</w:t>
      </w:r>
      <w:r>
        <w:rPr>
          <w:rFonts w:hint="eastAsia" w:ascii="仿宋_GB2312" w:eastAsia="仿宋_GB2312"/>
          <w:sz w:val="32"/>
          <w:szCs w:val="32"/>
        </w:rPr>
        <w:t>用于保障实施养老保险制度由单位缴纳的基本养老保险费的支出。</w:t>
      </w:r>
    </w:p>
    <w:p>
      <w:pPr>
        <w:pStyle w:val="2"/>
        <w:ind w:left="0" w:leftChars="0" w:firstLine="640" w:firstLineChars="200"/>
        <w:rPr>
          <w:rFonts w:hint="eastAsia" w:ascii="仿宋_GB2312" w:eastAsia="仿宋_GB2312"/>
          <w:sz w:val="32"/>
          <w:szCs w:val="32"/>
        </w:rPr>
      </w:pPr>
      <w:r>
        <w:rPr>
          <w:rFonts w:hint="eastAsia"/>
          <w:sz w:val="32"/>
          <w:szCs w:val="32"/>
          <w:lang w:val="en-US" w:eastAsia="zh-CN"/>
        </w:rPr>
        <w:t>6</w:t>
      </w:r>
      <w:r>
        <w:rPr>
          <w:rFonts w:ascii="仿宋_GB2312" w:eastAsia="仿宋_GB2312"/>
          <w:sz w:val="32"/>
          <w:szCs w:val="32"/>
        </w:rPr>
        <w:t>.</w:t>
      </w:r>
      <w:r>
        <w:rPr>
          <w:rFonts w:hint="eastAsia"/>
          <w:sz w:val="32"/>
          <w:szCs w:val="32"/>
          <w:lang w:eastAsia="zh-CN"/>
        </w:rPr>
        <w:t>卫生健康</w:t>
      </w:r>
      <w:r>
        <w:rPr>
          <w:rFonts w:hint="eastAsia" w:ascii="仿宋_GB2312" w:eastAsia="仿宋_GB2312"/>
          <w:sz w:val="32"/>
          <w:szCs w:val="32"/>
        </w:rPr>
        <w:t>（类）行政事业单位医疗（款）行政单位医疗（项）：指荣县人民检察院</w:t>
      </w:r>
      <w:r>
        <w:rPr>
          <w:rFonts w:hint="eastAsia"/>
          <w:sz w:val="32"/>
          <w:szCs w:val="32"/>
          <w:lang w:eastAsia="zh-CN"/>
        </w:rPr>
        <w:t>部门</w:t>
      </w:r>
      <w:r>
        <w:rPr>
          <w:rFonts w:hint="eastAsia" w:ascii="仿宋_GB2312" w:eastAsia="仿宋_GB2312"/>
          <w:sz w:val="32"/>
          <w:szCs w:val="32"/>
        </w:rPr>
        <w:t>用于保障行政单位基本医疗保险缴费经费的支出。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hAnsi="Calibri" w:eastAsia="仿宋_GB2312" w:cs="仿宋_GB2312"/>
          <w:kern w:val="0"/>
          <w:sz w:val="32"/>
          <w:szCs w:val="32"/>
          <w:lang w:val="en-US" w:eastAsia="zh-CN" w:bidi="ar-SA"/>
        </w:rPr>
        <w:t>卫生健康</w:t>
      </w:r>
      <w:r>
        <w:rPr>
          <w:rFonts w:hint="eastAsia" w:ascii="仿宋_GB2312" w:eastAsia="仿宋_GB2312"/>
          <w:sz w:val="32"/>
          <w:szCs w:val="32"/>
        </w:rPr>
        <w:t>（类）行政事业单位医疗（款）公务员医疗补助（项）：指荣县人民检察院</w:t>
      </w:r>
      <w:r>
        <w:rPr>
          <w:rFonts w:hint="eastAsia" w:ascii="仿宋_GB2312" w:eastAsia="仿宋_GB2312"/>
          <w:sz w:val="32"/>
          <w:szCs w:val="32"/>
          <w:lang w:eastAsia="zh-CN"/>
        </w:rPr>
        <w:t>部门</w:t>
      </w:r>
      <w:r>
        <w:rPr>
          <w:rFonts w:hint="eastAsia" w:ascii="仿宋_GB2312" w:eastAsia="仿宋_GB2312"/>
          <w:sz w:val="32"/>
          <w:szCs w:val="32"/>
        </w:rPr>
        <w:t>用于保障公务员医疗补助经费的支出。</w:t>
      </w:r>
    </w:p>
    <w:p>
      <w:pPr>
        <w:pStyle w:val="2"/>
        <w:ind w:left="0" w:leftChars="0" w:firstLine="640" w:firstLineChars="200"/>
      </w:pPr>
      <w:r>
        <w:rPr>
          <w:rFonts w:hint="eastAsia"/>
          <w:sz w:val="32"/>
          <w:szCs w:val="32"/>
          <w:lang w:val="en-US" w:eastAsia="zh-CN"/>
        </w:rPr>
        <w:t>8.</w:t>
      </w:r>
      <w:r>
        <w:rPr>
          <w:rFonts w:hint="eastAsia" w:ascii="仿宋_GB2312" w:eastAsia="仿宋_GB2312"/>
          <w:sz w:val="32"/>
          <w:szCs w:val="32"/>
        </w:rPr>
        <w:t>住房保障（类）住房改革支出（款）住房公积金（项）：指荣县人民检察院</w:t>
      </w:r>
      <w:r>
        <w:rPr>
          <w:rFonts w:hint="eastAsia"/>
          <w:sz w:val="32"/>
          <w:szCs w:val="32"/>
          <w:lang w:eastAsia="zh-CN"/>
        </w:rPr>
        <w:t>部门</w:t>
      </w:r>
      <w:r>
        <w:rPr>
          <w:rFonts w:hint="eastAsia" w:ascii="仿宋_GB2312" w:eastAsia="仿宋_GB2312"/>
          <w:sz w:val="32"/>
          <w:szCs w:val="32"/>
        </w:rPr>
        <w:t>用于保障按规定的基本工资和津贴补贴以及规定比例为职工缴纳的住房公积金的支出。</w:t>
      </w:r>
    </w:p>
    <w:p>
      <w:pPr>
        <w:pageBreakBefore w:val="0"/>
        <w:widowControl w:val="0"/>
        <w:kinsoku/>
        <w:wordWrap/>
        <w:overflowPunct/>
        <w:topLinePunct w:val="0"/>
        <w:bidi w:val="0"/>
        <w:spacing w:line="58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.基本支出：指为保证机构正常运转，完成日常工作任务而发生的人员支出和公用支出。</w:t>
      </w:r>
    </w:p>
    <w:p>
      <w:pPr>
        <w:pageBreakBefore w:val="0"/>
        <w:widowControl w:val="0"/>
        <w:kinsoku/>
        <w:wordWrap/>
        <w:overflowPunct/>
        <w:topLinePunct w:val="0"/>
        <w:bidi w:val="0"/>
        <w:spacing w:line="58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.项目支出：指在基本支出之外为完成特定行政任务和事业发展目标所发生的支出。</w:t>
      </w:r>
    </w:p>
    <w:p>
      <w:pPr>
        <w:pageBreakBefore w:val="0"/>
        <w:widowControl w:val="0"/>
        <w:kinsoku/>
        <w:wordWrap/>
        <w:overflowPunct/>
        <w:topLinePunct w:val="0"/>
        <w:bidi w:val="0"/>
        <w:spacing w:line="580" w:lineRule="exact"/>
        <w:ind w:firstLine="66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widowControl w:val="0"/>
        <w:kinsoku/>
        <w:wordWrap/>
        <w:overflowPunct/>
        <w:topLinePunct w:val="0"/>
        <w:bidi w:val="0"/>
        <w:spacing w:line="580" w:lineRule="exact"/>
        <w:ind w:firstLine="645"/>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.机关运行经费：为保障行政单位运行用于购买货物和服务的各项资金。包括办公及印刷费、邮电费、差旅费、会议费等费用开支。</w:t>
      </w:r>
    </w:p>
    <w:p>
      <w:pPr>
        <w:pageBreakBefore w:val="0"/>
        <w:widowControl w:val="0"/>
        <w:kinsoku/>
        <w:wordWrap/>
        <w:overflowPunct/>
        <w:topLinePunct w:val="0"/>
        <w:bidi w:val="0"/>
        <w:spacing w:line="580" w:lineRule="exact"/>
        <w:textAlignment w:val="auto"/>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rPr>
          <w:rFonts w:hint="eastAsia" w:ascii="仿宋_GB2312" w:eastAsia="仿宋_GB2312"/>
          <w:color w:val="000000"/>
          <w:sz w:val="32"/>
          <w:szCs w:val="32"/>
        </w:rPr>
      </w:pPr>
    </w:p>
    <w:p>
      <w:pPr>
        <w:pStyle w:val="2"/>
        <w:rPr>
          <w:rFonts w:hint="eastAsia"/>
        </w:rPr>
      </w:pPr>
    </w:p>
    <w:p>
      <w:pPr>
        <w:pageBreakBefore w:val="0"/>
        <w:widowControl w:val="0"/>
        <w:kinsoku/>
        <w:wordWrap/>
        <w:overflowPunct/>
        <w:topLinePunct w:val="0"/>
        <w:bidi w:val="0"/>
        <w:spacing w:line="580" w:lineRule="exact"/>
        <w:textAlignment w:val="auto"/>
        <w:rPr>
          <w:rFonts w:hint="eastAsia" w:ascii="仿宋_GB2312" w:eastAsia="仿宋_GB2312"/>
          <w:color w:val="000000"/>
          <w:sz w:val="32"/>
          <w:szCs w:val="32"/>
        </w:rPr>
      </w:pPr>
      <w:r>
        <w:rPr>
          <w:rFonts w:hint="eastAsia" w:ascii="仿宋_GB2312" w:eastAsia="仿宋_GB2312"/>
          <w:color w:val="333333"/>
          <w:sz w:val="28"/>
          <w:szCs w:val="28"/>
        </w:rPr>
        <w:t>　</w:t>
      </w:r>
      <w:r>
        <w:rPr>
          <w:rFonts w:hint="eastAsia" w:ascii="仿宋_GB2312" w:eastAsia="仿宋_GB2312"/>
          <w:color w:val="000000"/>
          <w:sz w:val="32"/>
          <w:szCs w:val="32"/>
        </w:rPr>
        <w:t xml:space="preserve">附件： </w:t>
      </w:r>
      <w:r>
        <w:rPr>
          <w:rFonts w:ascii="仿宋_GB2312" w:eastAsia="仿宋_GB2312"/>
          <w:color w:val="000000"/>
          <w:sz w:val="32"/>
          <w:szCs w:val="32"/>
        </w:rPr>
        <w:t xml:space="preserve"> </w:t>
      </w:r>
      <w:r>
        <w:rPr>
          <w:rFonts w:hint="eastAsia" w:ascii="仿宋_GB2312" w:eastAsia="仿宋_GB2312"/>
          <w:color w:val="000000"/>
          <w:sz w:val="32"/>
          <w:szCs w:val="32"/>
        </w:rPr>
        <w:t>表1.部门收支总表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表1-1.部门收入总表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表1-2.部门支出总表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表2.财政拨款收支预算总表</w:t>
      </w:r>
    </w:p>
    <w:p>
      <w:pPr>
        <w:pageBreakBefore w:val="0"/>
        <w:widowControl w:val="0"/>
        <w:kinsoku/>
        <w:wordWrap/>
        <w:overflowPunct/>
        <w:topLinePunct w:val="0"/>
        <w:bidi w:val="0"/>
        <w:spacing w:line="580" w:lineRule="exact"/>
        <w:ind w:firstLine="1600" w:firstLineChars="500"/>
        <w:textAlignment w:val="auto"/>
        <w:rPr>
          <w:rFonts w:hint="eastAsia" w:ascii="仿宋_GB2312" w:eastAsia="仿宋_GB2312"/>
          <w:color w:val="000000"/>
          <w:sz w:val="32"/>
          <w:szCs w:val="32"/>
        </w:rPr>
      </w:pPr>
      <w:r>
        <w:rPr>
          <w:rFonts w:hint="eastAsia" w:ascii="仿宋_GB2312" w:eastAsia="仿宋_GB2312"/>
          <w:color w:val="000000"/>
          <w:sz w:val="32"/>
          <w:szCs w:val="32"/>
        </w:rPr>
        <w:t>表2-1. 财政拨款支出预算表（</w:t>
      </w:r>
      <w:r>
        <w:rPr>
          <w:rFonts w:hint="eastAsia" w:ascii="仿宋_GB2312" w:eastAsia="仿宋_GB2312"/>
          <w:color w:val="000000"/>
          <w:sz w:val="28"/>
          <w:szCs w:val="28"/>
        </w:rPr>
        <w:t>部门经济分类科目</w:t>
      </w:r>
      <w:r>
        <w:rPr>
          <w:rFonts w:hint="eastAsia" w:ascii="仿宋_GB2312" w:eastAsia="仿宋_GB2312"/>
          <w:color w:val="000000"/>
          <w:sz w:val="32"/>
          <w:szCs w:val="32"/>
        </w:rPr>
        <w:t>）　　　　　</w:t>
      </w:r>
    </w:p>
    <w:p>
      <w:pPr>
        <w:pageBreakBefore w:val="0"/>
        <w:widowControl w:val="0"/>
        <w:kinsoku/>
        <w:wordWrap/>
        <w:overflowPunct/>
        <w:topLinePunct w:val="0"/>
        <w:bidi w:val="0"/>
        <w:spacing w:line="580" w:lineRule="exact"/>
        <w:ind w:firstLine="1600" w:firstLineChars="500"/>
        <w:textAlignment w:val="auto"/>
        <w:rPr>
          <w:rFonts w:ascii="仿宋_GB2312" w:eastAsia="仿宋_GB2312"/>
          <w:color w:val="000000"/>
          <w:sz w:val="32"/>
          <w:szCs w:val="32"/>
        </w:rPr>
      </w:pPr>
      <w:r>
        <w:rPr>
          <w:rFonts w:hint="eastAsia" w:ascii="仿宋_GB2312" w:eastAsia="仿宋_GB2312"/>
          <w:color w:val="000000"/>
          <w:sz w:val="32"/>
          <w:szCs w:val="32"/>
        </w:rPr>
        <w:t>表3.一般公共预算支出预算表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表3-1.一般公共预算基本支出预算表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表3-2.一般公共预算项目支出预算表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表3-3.一般公共预算“三公”经费支出预算表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表4.政府性基金支出预算表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表4-1.政府性基金预算“三公”经费支出预算表</w:t>
      </w:r>
      <w:r>
        <w:rPr>
          <w:rFonts w:hint="eastAsia" w:ascii="仿宋_GB2312" w:eastAsia="仿宋_GB2312"/>
          <w:color w:val="000000"/>
          <w:sz w:val="32"/>
          <w:szCs w:val="32"/>
        </w:rPr>
        <w:br w:type="textWrapping"/>
      </w:r>
      <w:r>
        <w:rPr>
          <w:rFonts w:hint="eastAsia" w:ascii="仿宋_GB2312" w:eastAsia="仿宋_GB2312"/>
          <w:color w:val="000000"/>
          <w:sz w:val="32"/>
          <w:szCs w:val="32"/>
        </w:rPr>
        <w:t>　　　　　表5.国有资本经营预算支出预算表</w:t>
      </w:r>
    </w:p>
    <w:p>
      <w:pPr>
        <w:pageBreakBefore w:val="0"/>
        <w:widowControl w:val="0"/>
        <w:kinsoku/>
        <w:wordWrap/>
        <w:overflowPunct/>
        <w:topLinePunct w:val="0"/>
        <w:bidi w:val="0"/>
        <w:spacing w:line="580" w:lineRule="exact"/>
        <w:ind w:firstLine="1600" w:firstLineChars="500"/>
        <w:textAlignment w:val="auto"/>
        <w:rPr>
          <w:rFonts w:hint="eastAsia" w:ascii="仿宋_GB2312" w:eastAsia="仿宋_GB2312"/>
          <w:color w:val="000000"/>
          <w:sz w:val="32"/>
          <w:szCs w:val="32"/>
        </w:rPr>
      </w:pPr>
      <w:r>
        <w:rPr>
          <w:rFonts w:hint="eastAsia" w:ascii="仿宋_GB2312" w:eastAsia="仿宋_GB2312"/>
          <w:color w:val="000000"/>
          <w:sz w:val="32"/>
          <w:szCs w:val="32"/>
        </w:rPr>
        <w:t>表6</w:t>
      </w:r>
      <w:r>
        <w:rPr>
          <w:rFonts w:ascii="仿宋_GB2312" w:eastAsia="仿宋_GB2312"/>
          <w:color w:val="000000"/>
          <w:sz w:val="32"/>
          <w:szCs w:val="32"/>
        </w:rPr>
        <w:t>.</w:t>
      </w:r>
      <w:r>
        <w:rPr>
          <w:rFonts w:hint="eastAsia" w:ascii="仿宋_GB2312" w:eastAsia="仿宋_GB2312"/>
          <w:color w:val="000000"/>
          <w:sz w:val="32"/>
          <w:szCs w:val="32"/>
        </w:rPr>
        <w:t>项目绩效目标</w:t>
      </w:r>
    </w:p>
    <w:p>
      <w:pPr>
        <w:pageBreakBefore w:val="0"/>
        <w:widowControl w:val="0"/>
        <w:tabs>
          <w:tab w:val="left" w:pos="1570"/>
        </w:tabs>
        <w:kinsoku/>
        <w:wordWrap/>
        <w:overflowPunct/>
        <w:topLinePunct w:val="0"/>
        <w:bidi w:val="0"/>
        <w:spacing w:line="580" w:lineRule="exact"/>
        <w:ind w:firstLine="640" w:firstLineChars="200"/>
        <w:textAlignment w:val="auto"/>
      </w:pPr>
      <w:r>
        <w:rPr>
          <w:rFonts w:hint="eastAsia" w:ascii="仿宋_GB2312" w:eastAsia="仿宋_GB2312"/>
          <w:color w:val="000000"/>
          <w:sz w:val="32"/>
          <w:szCs w:val="32"/>
          <w:lang w:eastAsia="zh-CN"/>
        </w:rPr>
        <w:tab/>
      </w:r>
      <w:r>
        <w:rPr>
          <w:rFonts w:hint="eastAsia" w:ascii="仿宋_GB2312" w:eastAsia="仿宋_GB2312"/>
          <w:color w:val="000000"/>
          <w:sz w:val="32"/>
          <w:szCs w:val="32"/>
          <w:lang w:val="en-US" w:eastAsia="zh-CN"/>
        </w:rPr>
        <w:t>表7.整体绩效目标</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方正大标宋简体"/>
    <w:panose1 w:val="02010600030101010101"/>
    <w:charset w:val="00"/>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BC1B3"/>
    <w:rsid w:val="3FFBC1B3"/>
    <w:rsid w:val="59EF34BF"/>
    <w:rsid w:val="7E6ED2C0"/>
    <w:rsid w:val="D7FFADD3"/>
    <w:rsid w:val="F7F536AA"/>
    <w:rsid w:val="FDDDDB33"/>
    <w:rsid w:val="FE7F3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autoSpaceDE w:val="0"/>
      <w:autoSpaceDN w:val="0"/>
      <w:adjustRightInd w:val="0"/>
      <w:spacing w:line="560" w:lineRule="atLeast"/>
      <w:ind w:firstLine="420"/>
    </w:pPr>
    <w:rPr>
      <w:rFonts w:ascii="仿宋_GB2312" w:hAnsi="Calibri" w:eastAsia="仿宋_GB2312" w:cs="仿宋_GB2312"/>
      <w:kern w:val="0"/>
      <w:sz w:val="32"/>
      <w:szCs w:val="32"/>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before="120"/>
      <w:jc w:val="left"/>
    </w:pPr>
    <w:rPr>
      <w:rFonts w:ascii="等线" w:eastAsia="等线"/>
      <w:b/>
      <w:bCs/>
      <w:i/>
      <w:iCs/>
      <w:sz w:val="24"/>
    </w:rPr>
  </w:style>
  <w:style w:type="paragraph" w:styleId="8">
    <w:name w:val="toc 2"/>
    <w:basedOn w:val="1"/>
    <w:next w:val="1"/>
    <w:unhideWhenUsed/>
    <w:qFormat/>
    <w:uiPriority w:val="39"/>
    <w:pPr>
      <w:spacing w:before="120"/>
      <w:ind w:left="300"/>
      <w:jc w:val="left"/>
    </w:pPr>
    <w:rPr>
      <w:rFonts w:ascii="等线" w:eastAsia="等线"/>
      <w:b/>
      <w:bCs/>
      <w:sz w:val="22"/>
      <w:szCs w:val="22"/>
    </w:rPr>
  </w:style>
  <w:style w:type="character" w:styleId="11">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2023-01-30T03:03:00Z</dcterms:created>
  <dc:creator>zgrx</dc:creator>
  <cp:lastModifiedBy>zgrx</cp:lastModifiedBy>
  <dcterms:modified xsi:type="dcterms:W3CDTF">2023-01-30T10:34:30Z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